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B2C3A5" w14:textId="3917493C" w:rsidR="005A3D88" w:rsidRPr="007B7B6B" w:rsidRDefault="00F56D8B" w:rsidP="003C3CE2">
      <w:pPr>
        <w:widowControl w:val="0"/>
        <w:spacing w:line="480" w:lineRule="auto"/>
        <w:rPr>
          <w:rFonts w:ascii="Times" w:eastAsia="Times New Roman" w:hAnsi="Times" w:cs="Times New Roman"/>
          <w:bCs/>
          <w:sz w:val="24"/>
          <w:szCs w:val="24"/>
        </w:rPr>
      </w:pPr>
      <w:r>
        <w:rPr>
          <w:rFonts w:ascii="Times" w:eastAsia="Times New Roman" w:hAnsi="Times" w:cs="Times New Roman"/>
          <w:bCs/>
          <w:sz w:val="24"/>
          <w:szCs w:val="24"/>
        </w:rPr>
        <w:t>The Case of Inconsistent Leadership</w:t>
      </w:r>
    </w:p>
    <w:p w14:paraId="3E085EA4" w14:textId="77777777" w:rsidR="005A3D88" w:rsidRPr="00403192" w:rsidRDefault="00B928CC">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 xml:space="preserve">Earlier in this chapter, we referred to 103 sixth-grade students who were ‘overlooked’ for the top track in mathematics in a large urban middle school. These students subsequently demonstrated their ability to be successful without any extraordinary interventions put into place. Critically, even though many of these students were previously designated as low-achieving and/or behaviorally and emotionally handicapped, they were placed into the top track because the principal of the school insisted that school board policy be followed and that these students be given an opportunity to succeed. </w:t>
      </w:r>
    </w:p>
    <w:p w14:paraId="6223A147" w14:textId="77777777" w:rsidR="005A3D88" w:rsidRPr="00403192" w:rsidRDefault="00B928CC">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 xml:space="preserve">The principal’s placement of these students, students who met the placement criteria for admittance into the class, met push-back from the mathematics faculty who were not in agreement with the principal’s actions. In spite of the push-back the students did well. An entire new pool of high-performing students was identified within the school. </w:t>
      </w:r>
    </w:p>
    <w:p w14:paraId="0BEF099F" w14:textId="77777777" w:rsidR="005A3D88" w:rsidRPr="00403192" w:rsidRDefault="00B928CC">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 xml:space="preserve"> These students performed well when given the opportunity to succeed. Indeed, three-quarters of the students received an A or B, and all but a few of the rest earned a C in the high level mathematics course for which they qualified (Figure 5.1). The data, in other words, would imply that the practice of following the academic guidelines was a success. </w:t>
      </w:r>
    </w:p>
    <w:p w14:paraId="6C50D0A8" w14:textId="77777777" w:rsidR="005A3D88" w:rsidRPr="00403192" w:rsidRDefault="00B928CC">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 xml:space="preserve">Nevertheless, when the principal was reassigned the next year to a high school, the mathematics faculty reverted back to old behaviors. During the next year, without the ‘checklist’ in place of simply following school board policy, students were similarly adjusted out of their proper placement. </w:t>
      </w:r>
    </w:p>
    <w:p w14:paraId="08313CB4" w14:textId="1B4FE02F" w:rsidR="005A3D88" w:rsidRPr="003C3CE2" w:rsidRDefault="005734E3" w:rsidP="005734E3">
      <w:pPr>
        <w:spacing w:line="480" w:lineRule="auto"/>
        <w:ind w:left="990"/>
        <w:rPr>
          <w:rFonts w:ascii="Times" w:eastAsia="Times New Roman" w:hAnsi="Times" w:cs="Times New Roman"/>
          <w:b/>
          <w:bCs/>
          <w:sz w:val="24"/>
          <w:szCs w:val="24"/>
        </w:rPr>
      </w:pPr>
      <w:r w:rsidRPr="003C3CE2">
        <w:rPr>
          <w:rFonts w:ascii="Times" w:eastAsia="Times New Roman" w:hAnsi="Times" w:cs="Times New Roman"/>
          <w:b/>
          <w:bCs/>
          <w:sz w:val="24"/>
          <w:szCs w:val="24"/>
        </w:rPr>
        <w:t>Figure 5.1 About Here</w:t>
      </w:r>
    </w:p>
    <w:p w14:paraId="63F28407" w14:textId="17656D34" w:rsidR="005A3D88" w:rsidRPr="00403192" w:rsidRDefault="00B928CC" w:rsidP="007B7B6B">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lastRenderedPageBreak/>
        <w:t>Rather than addressing this disregard for school policy, the new principal acquiesced. This principal was not willing to contradict the sentiments of a mathematics faculty for the principle of equitable class placement. The faculty did not agree with extending opportunities to all students who met the school district’s criteria for advanced placements. It did not matter that the data seen demonstrated that children meeting the school district’s criteria were successful the year before. This evidence was not enough to get teachers and administrators to change their stories about, and their professional evaluation of, black and Latino children.</w:t>
      </w:r>
    </w:p>
    <w:p w14:paraId="69BFFB0C" w14:textId="77777777" w:rsidR="005A3D88" w:rsidRPr="00403192" w:rsidRDefault="00B928CC">
      <w:pPr>
        <w:spacing w:line="480" w:lineRule="auto"/>
        <w:rPr>
          <w:rFonts w:ascii="Times" w:eastAsia="Times New Roman" w:hAnsi="Times" w:cs="Times New Roman"/>
          <w:sz w:val="24"/>
          <w:szCs w:val="24"/>
        </w:rPr>
      </w:pPr>
      <w:r w:rsidRPr="00403192">
        <w:rPr>
          <w:rFonts w:ascii="Times" w:eastAsia="Times New Roman" w:hAnsi="Times" w:cs="Times New Roman"/>
          <w:sz w:val="24"/>
          <w:szCs w:val="24"/>
        </w:rPr>
        <w:tab/>
        <w:t>Keeping in mind the three case studies above, let’s zoom out just a bit to consider the interplay of these student level decisions and larger system decisions.</w:t>
      </w:r>
    </w:p>
    <w:p w14:paraId="050EFAE4" w14:textId="77777777" w:rsidR="005A3D88" w:rsidRPr="007B7B6B" w:rsidRDefault="00B928CC" w:rsidP="003C3CE2">
      <w:pPr>
        <w:spacing w:line="480" w:lineRule="auto"/>
        <w:jc w:val="center"/>
        <w:rPr>
          <w:rFonts w:ascii="Times" w:eastAsia="Times New Roman" w:hAnsi="Times" w:cs="Times New Roman"/>
          <w:bCs/>
          <w:sz w:val="24"/>
          <w:szCs w:val="24"/>
        </w:rPr>
      </w:pPr>
      <w:r w:rsidRPr="007B7B6B">
        <w:rPr>
          <w:rFonts w:ascii="Times" w:eastAsia="Times New Roman" w:hAnsi="Times" w:cs="Times New Roman"/>
          <w:bCs/>
          <w:sz w:val="24"/>
          <w:szCs w:val="24"/>
        </w:rPr>
        <w:t>Cumulative Impact</w:t>
      </w:r>
    </w:p>
    <w:p w14:paraId="2ABBB626" w14:textId="01714746" w:rsidR="005A3D88" w:rsidRPr="00403192" w:rsidRDefault="001E6314" w:rsidP="001E6314">
      <w:pPr>
        <w:spacing w:line="480" w:lineRule="auto"/>
        <w:ind w:firstLine="720"/>
        <w:rPr>
          <w:rFonts w:ascii="Times" w:eastAsia="Times New Roman" w:hAnsi="Times" w:cs="Times New Roman"/>
          <w:sz w:val="24"/>
          <w:szCs w:val="24"/>
        </w:rPr>
      </w:pPr>
      <w:r>
        <w:rPr>
          <w:rFonts w:ascii="Times" w:eastAsia="Times New Roman" w:hAnsi="Times" w:cs="Times New Roman"/>
          <w:sz w:val="24"/>
          <w:szCs w:val="24"/>
        </w:rPr>
        <w:t xml:space="preserve">Recall the study discussed in chapter 2 regarding the placement of young students into gifted programming. </w:t>
      </w:r>
      <w:r w:rsidR="00B928CC" w:rsidRPr="00403192">
        <w:rPr>
          <w:rFonts w:ascii="Times" w:eastAsia="Times New Roman" w:hAnsi="Times" w:cs="Times New Roman"/>
          <w:sz w:val="24"/>
          <w:szCs w:val="24"/>
        </w:rPr>
        <w:t>After determining that using teacher recommendations and parent requests led to racially biased outcomes for inclusion into gifted program</w:t>
      </w:r>
      <w:r>
        <w:rPr>
          <w:rFonts w:ascii="Times" w:eastAsia="Times New Roman" w:hAnsi="Times" w:cs="Times New Roman"/>
          <w:sz w:val="24"/>
          <w:szCs w:val="24"/>
        </w:rPr>
        <w:t xml:space="preserve">s, a school district </w:t>
      </w:r>
      <w:r w:rsidR="00B928CC" w:rsidRPr="00403192">
        <w:rPr>
          <w:rFonts w:ascii="Times" w:eastAsia="Times New Roman" w:hAnsi="Times" w:cs="Times New Roman"/>
          <w:sz w:val="24"/>
          <w:szCs w:val="24"/>
        </w:rPr>
        <w:t>adopted a policy to screen everyone using more objective performance criteria for admission into the</w:t>
      </w:r>
      <w:r w:rsidR="0031453B">
        <w:rPr>
          <w:rFonts w:ascii="Times" w:eastAsia="Times New Roman" w:hAnsi="Times" w:cs="Times New Roman"/>
          <w:sz w:val="24"/>
          <w:szCs w:val="24"/>
        </w:rPr>
        <w:t xml:space="preserve"> referral pool for</w:t>
      </w:r>
      <w:r w:rsidR="00B928CC" w:rsidRPr="00403192">
        <w:rPr>
          <w:rFonts w:ascii="Times" w:eastAsia="Times New Roman" w:hAnsi="Times" w:cs="Times New Roman"/>
          <w:sz w:val="24"/>
          <w:szCs w:val="24"/>
        </w:rPr>
        <w:t xml:space="preserve"> gifted programs.</w:t>
      </w:r>
      <w:r w:rsidR="007B7B6B">
        <w:rPr>
          <w:rStyle w:val="EndnoteReference"/>
          <w:rFonts w:ascii="Times" w:eastAsia="Times New Roman" w:hAnsi="Times" w:cs="Times New Roman"/>
          <w:sz w:val="24"/>
          <w:szCs w:val="24"/>
        </w:rPr>
        <w:endnoteReference w:id="1"/>
      </w:r>
      <w:r w:rsidR="00B928CC" w:rsidRPr="00403192">
        <w:rPr>
          <w:rFonts w:ascii="Times" w:eastAsia="Times New Roman" w:hAnsi="Times" w:cs="Times New Roman"/>
          <w:sz w:val="24"/>
          <w:szCs w:val="24"/>
        </w:rPr>
        <w:t xml:space="preserve"> As a result, the racially biased placement pa</w:t>
      </w:r>
      <w:r w:rsidR="007B7B6B">
        <w:rPr>
          <w:rFonts w:ascii="Times" w:eastAsia="Times New Roman" w:hAnsi="Times" w:cs="Times New Roman"/>
          <w:sz w:val="24"/>
          <w:szCs w:val="24"/>
        </w:rPr>
        <w:t>tterns, seen previously in th</w:t>
      </w:r>
      <w:r>
        <w:rPr>
          <w:rFonts w:ascii="Times" w:eastAsia="Times New Roman" w:hAnsi="Times" w:cs="Times New Roman"/>
          <w:sz w:val="24"/>
          <w:szCs w:val="24"/>
        </w:rPr>
        <w:t>e</w:t>
      </w:r>
      <w:r w:rsidR="007B7B6B">
        <w:rPr>
          <w:rFonts w:ascii="Times" w:eastAsia="Times New Roman" w:hAnsi="Times" w:cs="Times New Roman"/>
          <w:sz w:val="24"/>
          <w:szCs w:val="24"/>
        </w:rPr>
        <w:t xml:space="preserve"> </w:t>
      </w:r>
      <w:r w:rsidR="00B928CC" w:rsidRPr="00403192">
        <w:rPr>
          <w:rFonts w:ascii="Times" w:eastAsia="Times New Roman" w:hAnsi="Times" w:cs="Times New Roman"/>
          <w:sz w:val="24"/>
          <w:szCs w:val="24"/>
        </w:rPr>
        <w:t>dis</w:t>
      </w:r>
      <w:r w:rsidR="007B7B6B">
        <w:rPr>
          <w:rFonts w:ascii="Times" w:eastAsia="Times New Roman" w:hAnsi="Times" w:cs="Times New Roman"/>
          <w:sz w:val="24"/>
          <w:szCs w:val="24"/>
        </w:rPr>
        <w:t>trict, were largely eliminated. What’s more, s</w:t>
      </w:r>
      <w:r w:rsidR="00B928CC" w:rsidRPr="00403192">
        <w:rPr>
          <w:rFonts w:ascii="Times" w:eastAsia="Times New Roman" w:hAnsi="Times" w:cs="Times New Roman"/>
          <w:sz w:val="24"/>
          <w:szCs w:val="24"/>
        </w:rPr>
        <w:t xml:space="preserve">tudent achievement and performance improved across student demographics.  </w:t>
      </w:r>
    </w:p>
    <w:p w14:paraId="7E47A7EB" w14:textId="3E7D0E83" w:rsidR="005A3D88" w:rsidRPr="00403192" w:rsidRDefault="00B928CC">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However, in the face of these positive outcomes, the school district later claimed that the screening process was too expensive. They then reverted to the referral-based system that relies upon teacher and parent ‘recommendatio</w:t>
      </w:r>
      <w:r w:rsidR="001E6314">
        <w:rPr>
          <w:rFonts w:ascii="Times" w:eastAsia="Times New Roman" w:hAnsi="Times" w:cs="Times New Roman"/>
          <w:sz w:val="24"/>
          <w:szCs w:val="24"/>
        </w:rPr>
        <w:t>ns’.  W</w:t>
      </w:r>
      <w:r w:rsidRPr="00403192">
        <w:rPr>
          <w:rFonts w:ascii="Times" w:eastAsia="Times New Roman" w:hAnsi="Times" w:cs="Times New Roman"/>
          <w:sz w:val="24"/>
          <w:szCs w:val="24"/>
        </w:rPr>
        <w:t>ithout the objective screening policy in place, racially-biased student performance outcomes returned; achievement and performance gaps returned to “normal.”</w:t>
      </w:r>
    </w:p>
    <w:p w14:paraId="1E01D397" w14:textId="4852ACF6" w:rsidR="005A3D88" w:rsidRPr="00403192" w:rsidRDefault="00B928CC">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lastRenderedPageBreak/>
        <w:t>How can this happen? We suggest that educators were unswayed, and effectively unaffected, by academic data that contradicted their prior beliefs about who should gain access to high level ac</w:t>
      </w:r>
      <w:r w:rsidR="00E830F0">
        <w:rPr>
          <w:rFonts w:ascii="Times" w:eastAsia="Times New Roman" w:hAnsi="Times" w:cs="Times New Roman"/>
          <w:sz w:val="24"/>
          <w:szCs w:val="24"/>
        </w:rPr>
        <w:t>ademics. They resisted the data—even when it was demonstrated to have large cumulative impact.</w:t>
      </w:r>
    </w:p>
    <w:p w14:paraId="471F0D04" w14:textId="3710DCF4" w:rsidR="005A3D88" w:rsidRPr="00403192" w:rsidRDefault="00B928CC">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 xml:space="preserve">In this way, the </w:t>
      </w:r>
      <w:r w:rsidRPr="00E830F0">
        <w:rPr>
          <w:rFonts w:ascii="Times" w:eastAsia="Times New Roman" w:hAnsi="Times" w:cs="Times New Roman"/>
          <w:i/>
          <w:iCs/>
          <w:sz w:val="24"/>
          <w:szCs w:val="24"/>
        </w:rPr>
        <w:t>individual</w:t>
      </w:r>
      <w:r w:rsidRPr="00403192">
        <w:rPr>
          <w:rFonts w:ascii="Times" w:eastAsia="Times New Roman" w:hAnsi="Times" w:cs="Times New Roman"/>
          <w:sz w:val="24"/>
          <w:szCs w:val="24"/>
        </w:rPr>
        <w:t xml:space="preserve"> beliefs, attitudes, and dispositions surrounding decisions made about how students should be provided the opportunity to study rigoro</w:t>
      </w:r>
      <w:r w:rsidR="00E830F0">
        <w:rPr>
          <w:rFonts w:ascii="Times" w:eastAsia="Times New Roman" w:hAnsi="Times" w:cs="Times New Roman"/>
          <w:sz w:val="24"/>
          <w:szCs w:val="24"/>
        </w:rPr>
        <w:t xml:space="preserve">us mathematics has a </w:t>
      </w:r>
      <w:r w:rsidR="00E830F0" w:rsidRPr="00E830F0">
        <w:rPr>
          <w:rFonts w:ascii="Times" w:eastAsia="Times New Roman" w:hAnsi="Times" w:cs="Times New Roman"/>
          <w:i/>
          <w:iCs/>
          <w:sz w:val="24"/>
          <w:szCs w:val="24"/>
        </w:rPr>
        <w:t>systemic</w:t>
      </w:r>
      <w:r w:rsidR="00E830F0">
        <w:rPr>
          <w:rFonts w:ascii="Times" w:eastAsia="Times New Roman" w:hAnsi="Times" w:cs="Times New Roman"/>
          <w:sz w:val="24"/>
          <w:szCs w:val="24"/>
        </w:rPr>
        <w:t xml:space="preserve"> </w:t>
      </w:r>
      <w:r w:rsidRPr="00403192">
        <w:rPr>
          <w:rFonts w:ascii="Times" w:eastAsia="Times New Roman" w:hAnsi="Times" w:cs="Times New Roman"/>
          <w:sz w:val="24"/>
          <w:szCs w:val="24"/>
        </w:rPr>
        <w:t>effect.  When beliefs, attitudes, and dispositions are examined with the perspective of performance data and existing practices, the results reveal biases that inhibit minority and low-income students’ access to high-quality content and instruction. And, though teachers and administrators may admit some awareness of such inequities, they seldom acknowledge the true magnitude of the problem or see their own role in it.</w:t>
      </w:r>
    </w:p>
    <w:p w14:paraId="0D431F09" w14:textId="12B9C6A6" w:rsidR="005A3D88" w:rsidRPr="007B7B6B" w:rsidRDefault="00F56D8B" w:rsidP="007B7B6B">
      <w:pPr>
        <w:spacing w:line="480" w:lineRule="auto"/>
        <w:jc w:val="center"/>
        <w:rPr>
          <w:rFonts w:ascii="Times" w:eastAsia="Times New Roman" w:hAnsi="Times" w:cs="Times New Roman"/>
          <w:bCs/>
          <w:sz w:val="24"/>
          <w:szCs w:val="24"/>
        </w:rPr>
      </w:pPr>
      <w:r>
        <w:rPr>
          <w:rFonts w:ascii="Times" w:eastAsia="Times New Roman" w:hAnsi="Times" w:cs="Times New Roman"/>
          <w:bCs/>
          <w:sz w:val="24"/>
          <w:szCs w:val="24"/>
        </w:rPr>
        <w:t>Data vs. Beliefs</w:t>
      </w:r>
    </w:p>
    <w:p w14:paraId="630A41CF" w14:textId="083F6E66" w:rsidR="00403192" w:rsidRPr="00403192" w:rsidRDefault="00B928CC">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Cultural beliefs and attitudes about low-income and minority students play a significant role in how students are placed in mathematics courses</w:t>
      </w:r>
      <w:r w:rsidR="00403192" w:rsidRPr="00403192">
        <w:rPr>
          <w:rFonts w:ascii="Times" w:eastAsia="Times New Roman" w:hAnsi="Times" w:cs="Times New Roman"/>
          <w:sz w:val="24"/>
          <w:szCs w:val="24"/>
          <w:vertAlign w:val="superscript"/>
        </w:rPr>
        <w:endnoteReference w:id="2"/>
      </w:r>
      <w:r w:rsidR="00403192" w:rsidRPr="00403192">
        <w:rPr>
          <w:rFonts w:ascii="Times" w:eastAsia="Times New Roman" w:hAnsi="Times" w:cs="Times New Roman"/>
          <w:sz w:val="24"/>
          <w:szCs w:val="24"/>
        </w:rPr>
        <w:t>. The use of performance data and objective achievement criteria helps educators avoid the unintentional (and intentional) biases students face</w:t>
      </w:r>
      <w:r w:rsidR="00403192" w:rsidRPr="00403192">
        <w:rPr>
          <w:rFonts w:ascii="Times" w:eastAsia="Times New Roman" w:hAnsi="Times" w:cs="Times New Roman"/>
          <w:sz w:val="24"/>
          <w:szCs w:val="24"/>
          <w:vertAlign w:val="superscript"/>
        </w:rPr>
        <w:endnoteReference w:id="3"/>
      </w:r>
      <w:r w:rsidR="00403192" w:rsidRPr="00403192">
        <w:rPr>
          <w:rFonts w:ascii="Times" w:eastAsia="Times New Roman" w:hAnsi="Times" w:cs="Times New Roman"/>
          <w:sz w:val="24"/>
          <w:szCs w:val="24"/>
        </w:rPr>
        <w:t>. Although many schools claim to use objective achievement criteria for making student placement decisions, more often than not, they</w:t>
      </w:r>
      <w:r w:rsidR="00E830F0">
        <w:rPr>
          <w:rFonts w:ascii="Times" w:eastAsia="Times New Roman" w:hAnsi="Times" w:cs="Times New Roman"/>
          <w:sz w:val="24"/>
          <w:szCs w:val="24"/>
        </w:rPr>
        <w:t xml:space="preserve"> use the data-driven approach—w</w:t>
      </w:r>
      <w:r w:rsidR="00403192" w:rsidRPr="00403192">
        <w:rPr>
          <w:rFonts w:ascii="Times" w:eastAsia="Times New Roman" w:hAnsi="Times" w:cs="Times New Roman"/>
          <w:sz w:val="24"/>
          <w:szCs w:val="24"/>
        </w:rPr>
        <w:t xml:space="preserve">ith adjustments. </w:t>
      </w:r>
    </w:p>
    <w:p w14:paraId="1B8B7C1E" w14:textId="3709FC3E" w:rsidR="00403192" w:rsidRPr="00403192" w:rsidRDefault="00403192">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 xml:space="preserve">Patrick </w:t>
      </w:r>
      <w:proofErr w:type="spellStart"/>
      <w:r w:rsidRPr="00403192">
        <w:rPr>
          <w:rFonts w:ascii="Times" w:eastAsia="Times New Roman" w:hAnsi="Times" w:cs="Times New Roman"/>
          <w:sz w:val="24"/>
          <w:szCs w:val="24"/>
        </w:rPr>
        <w:t>Akos</w:t>
      </w:r>
      <w:proofErr w:type="spellEnd"/>
      <w:r w:rsidRPr="00403192">
        <w:rPr>
          <w:rFonts w:ascii="Times" w:eastAsia="Times New Roman" w:hAnsi="Times" w:cs="Times New Roman"/>
          <w:sz w:val="24"/>
          <w:szCs w:val="24"/>
        </w:rPr>
        <w:t xml:space="preserve"> and his colleagues have consistently found that middle grade students appear to be “inequitably distributed among hierarchies of mathematics courses on the basis of race and economic background”.</w:t>
      </w:r>
      <w:r w:rsidRPr="00403192">
        <w:rPr>
          <w:rFonts w:ascii="Times" w:eastAsia="Times New Roman" w:hAnsi="Times" w:cs="Times New Roman"/>
          <w:sz w:val="24"/>
          <w:szCs w:val="24"/>
          <w:vertAlign w:val="superscript"/>
        </w:rPr>
        <w:endnoteReference w:id="4"/>
      </w:r>
      <w:r w:rsidRPr="00403192">
        <w:rPr>
          <w:rFonts w:ascii="Times" w:eastAsia="Times New Roman" w:hAnsi="Times" w:cs="Times New Roman"/>
          <w:sz w:val="24"/>
          <w:szCs w:val="24"/>
        </w:rPr>
        <w:t xml:space="preserve"> </w:t>
      </w:r>
      <w:r w:rsidRPr="00403192">
        <w:rPr>
          <w:rFonts w:ascii="Times" w:eastAsia="Times New Roman" w:hAnsi="Times" w:cs="Times New Roman"/>
          <w:sz w:val="24"/>
          <w:szCs w:val="24"/>
          <w:vertAlign w:val="superscript"/>
        </w:rPr>
        <w:endnoteReference w:id="5"/>
      </w:r>
      <w:r w:rsidRPr="00403192">
        <w:rPr>
          <w:rFonts w:ascii="Times" w:eastAsia="Times New Roman" w:hAnsi="Times" w:cs="Times New Roman"/>
          <w:sz w:val="24"/>
          <w:szCs w:val="24"/>
        </w:rPr>
        <w:t xml:space="preserve"> </w:t>
      </w:r>
      <w:r w:rsidR="00B928CC" w:rsidRPr="00403192">
        <w:rPr>
          <w:rFonts w:ascii="Times" w:eastAsia="Times New Roman" w:hAnsi="Times" w:cs="Times New Roman"/>
          <w:sz w:val="24"/>
          <w:szCs w:val="24"/>
        </w:rPr>
        <w:t xml:space="preserve"> Such disparities contribute to the ever-growing stratification among course opportunities for students. Similar results are found for high school students.</w:t>
      </w:r>
      <w:r w:rsidRPr="00403192">
        <w:rPr>
          <w:rFonts w:ascii="Times" w:eastAsia="Times New Roman" w:hAnsi="Times" w:cs="Times New Roman"/>
          <w:sz w:val="24"/>
          <w:szCs w:val="24"/>
          <w:vertAlign w:val="superscript"/>
        </w:rPr>
        <w:endnoteReference w:id="6"/>
      </w:r>
      <w:r w:rsidRPr="00403192">
        <w:rPr>
          <w:rFonts w:ascii="Times" w:eastAsia="Times New Roman" w:hAnsi="Times" w:cs="Times New Roman"/>
          <w:sz w:val="24"/>
          <w:szCs w:val="24"/>
        </w:rPr>
        <w:t xml:space="preserve"> </w:t>
      </w:r>
      <w:r w:rsidRPr="00403192">
        <w:rPr>
          <w:rFonts w:ascii="Times" w:eastAsia="Times New Roman" w:hAnsi="Times" w:cs="Times New Roman"/>
          <w:sz w:val="24"/>
          <w:szCs w:val="24"/>
        </w:rPr>
        <w:lastRenderedPageBreak/>
        <w:t>Specifically, even when academic achievement i</w:t>
      </w:r>
      <w:r w:rsidR="00802F73">
        <w:rPr>
          <w:rFonts w:ascii="Times" w:eastAsia="Times New Roman" w:hAnsi="Times" w:cs="Times New Roman"/>
          <w:sz w:val="24"/>
          <w:szCs w:val="24"/>
        </w:rPr>
        <w:t>s comparable, Black and Hispanic</w:t>
      </w:r>
      <w:r w:rsidRPr="00403192">
        <w:rPr>
          <w:rFonts w:ascii="Times" w:eastAsia="Times New Roman" w:hAnsi="Times" w:cs="Times New Roman"/>
          <w:sz w:val="24"/>
          <w:szCs w:val="24"/>
        </w:rPr>
        <w:t xml:space="preserve"> students have less opportunity to take high quality courses than their Asian and White counterparts. </w:t>
      </w:r>
    </w:p>
    <w:p w14:paraId="51253D2D" w14:textId="77777777" w:rsidR="00403192" w:rsidRPr="00403192" w:rsidRDefault="00403192">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How does this happen? What decisions are made that continue to produce these inequitable results? Do beliefs trump data when data does not match prior beliefs?</w:t>
      </w:r>
    </w:p>
    <w:p w14:paraId="1CA8BC9E" w14:textId="77777777" w:rsidR="005A3D88" w:rsidRPr="00403192" w:rsidRDefault="00403192">
      <w:pPr>
        <w:spacing w:line="480" w:lineRule="auto"/>
        <w:ind w:firstLine="720"/>
        <w:rPr>
          <w:rFonts w:ascii="Times" w:eastAsia="Times New Roman" w:hAnsi="Times" w:cs="Times New Roman"/>
          <w:sz w:val="24"/>
          <w:szCs w:val="24"/>
        </w:rPr>
      </w:pPr>
      <w:r>
        <w:rPr>
          <w:rFonts w:ascii="Times" w:eastAsia="Times New Roman" w:hAnsi="Times" w:cs="Times New Roman"/>
          <w:sz w:val="24"/>
          <w:szCs w:val="24"/>
        </w:rPr>
        <w:t xml:space="preserve">Consider the </w:t>
      </w:r>
      <w:r w:rsidRPr="00403192">
        <w:rPr>
          <w:rFonts w:ascii="Times" w:eastAsia="Times New Roman" w:hAnsi="Times" w:cs="Times New Roman"/>
          <w:sz w:val="24"/>
          <w:szCs w:val="24"/>
        </w:rPr>
        <w:t>large urba</w:t>
      </w:r>
      <w:r>
        <w:rPr>
          <w:rFonts w:ascii="Times" w:eastAsia="Times New Roman" w:hAnsi="Times" w:cs="Times New Roman"/>
          <w:sz w:val="24"/>
          <w:szCs w:val="24"/>
        </w:rPr>
        <w:t>n school district in which the c</w:t>
      </w:r>
      <w:r w:rsidRPr="00403192">
        <w:rPr>
          <w:rFonts w:ascii="Times" w:eastAsia="Times New Roman" w:hAnsi="Times" w:cs="Times New Roman"/>
          <w:sz w:val="24"/>
          <w:szCs w:val="24"/>
        </w:rPr>
        <w:t>ase</w:t>
      </w:r>
      <w:r>
        <w:rPr>
          <w:rFonts w:ascii="Times" w:eastAsia="Times New Roman" w:hAnsi="Times" w:cs="Times New Roman"/>
          <w:sz w:val="24"/>
          <w:szCs w:val="24"/>
        </w:rPr>
        <w:t>s</w:t>
      </w:r>
      <w:r w:rsidRPr="00403192">
        <w:rPr>
          <w:rFonts w:ascii="Times" w:eastAsia="Times New Roman" w:hAnsi="Times" w:cs="Times New Roman"/>
          <w:sz w:val="24"/>
          <w:szCs w:val="24"/>
        </w:rPr>
        <w:t xml:space="preserve"> of both Alexander and Laila occurred. Soon after implementation of the open-placement, data-driven opportunity protocol was put in place, the district argued that the use of objective performance data harmed minority students and girls. In particular, they argued that using the lowest cut-off score on the EVAAS measure (at 70% likelihood of success) resulted in more </w:t>
      </w:r>
      <w:r w:rsidRPr="00403192">
        <w:rPr>
          <w:rFonts w:ascii="Times" w:eastAsia="Times New Roman" w:hAnsi="Times" w:cs="Times New Roman"/>
          <w:i/>
          <w:sz w:val="24"/>
          <w:szCs w:val="24"/>
        </w:rPr>
        <w:t>unsuccessful</w:t>
      </w:r>
      <w:r w:rsidRPr="00403192">
        <w:rPr>
          <w:rFonts w:ascii="Times" w:eastAsia="Times New Roman" w:hAnsi="Times" w:cs="Times New Roman"/>
          <w:sz w:val="24"/>
          <w:szCs w:val="24"/>
        </w:rPr>
        <w:t xml:space="preserve"> outcomes for students than they deemed appropriate, thereby suggesting that such students should be required to take remedial classes.</w:t>
      </w:r>
      <w:r w:rsidRPr="00403192">
        <w:rPr>
          <w:rFonts w:ascii="Times" w:eastAsia="Times New Roman" w:hAnsi="Times" w:cs="Times New Roman"/>
          <w:sz w:val="24"/>
          <w:szCs w:val="24"/>
          <w:vertAlign w:val="superscript"/>
        </w:rPr>
        <w:endnoteReference w:id="7"/>
      </w:r>
      <w:r w:rsidRPr="00403192">
        <w:rPr>
          <w:rFonts w:ascii="Times" w:eastAsia="Times New Roman" w:hAnsi="Times" w:cs="Times New Roman"/>
          <w:sz w:val="24"/>
          <w:szCs w:val="24"/>
        </w:rPr>
        <w:t xml:space="preserve"> </w:t>
      </w:r>
    </w:p>
    <w:p w14:paraId="1058C800" w14:textId="77777777" w:rsidR="005A3D88" w:rsidRPr="00403192" w:rsidRDefault="00B928CC">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It is certainly possible that educator resistance may have played a part here. The increase in browner and poorer students into classes that were formerly populated by the more affluent, white and Asian-American students caused a kerfuffle in schools.  Talk was about the increase in students identified as qualified for the highest level math classes. While many teachers embraced the broader range of students in their classes, many others did not. For instance, a middle school math teacher (from a different school within the same time period) said to one of the authors here “I don’t know how to teach these children.” This can be a vulnerable thing for a teacher to say, but it is also a bit confusing. Keep in mind that these students have demonstrated average or above-average performance for several years as evidenced by their EVAAS scores.</w:t>
      </w:r>
    </w:p>
    <w:p w14:paraId="38FD703B" w14:textId="364A9712" w:rsidR="005A3D88" w:rsidRPr="00403192" w:rsidRDefault="00B928CC">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 xml:space="preserve">Nevertheless, the data indicated that a 70% predication-rate-of-success cut-off score created problems. Many students were not performing as well as expected and there was a racial </w:t>
      </w:r>
      <w:r w:rsidRPr="00403192">
        <w:rPr>
          <w:rFonts w:ascii="Times" w:eastAsia="Times New Roman" w:hAnsi="Times" w:cs="Times New Roman"/>
          <w:sz w:val="24"/>
          <w:szCs w:val="24"/>
        </w:rPr>
        <w:lastRenderedPageBreak/>
        <w:t>and</w:t>
      </w:r>
      <w:r w:rsidR="00802F73">
        <w:rPr>
          <w:rFonts w:ascii="Times" w:eastAsia="Times New Roman" w:hAnsi="Times" w:cs="Times New Roman"/>
          <w:sz w:val="24"/>
          <w:szCs w:val="24"/>
        </w:rPr>
        <w:t xml:space="preserve"> gender-based trend to the data: Girls and students of color did not perform as well as hoped.</w:t>
      </w:r>
      <w:r w:rsidRPr="00403192">
        <w:rPr>
          <w:rFonts w:ascii="Times" w:eastAsia="Times New Roman" w:hAnsi="Times" w:cs="Times New Roman"/>
          <w:sz w:val="24"/>
          <w:szCs w:val="24"/>
        </w:rPr>
        <w:t xml:space="preserve"> It makes good sense to question and reconsider this entrance policy. </w:t>
      </w:r>
    </w:p>
    <w:p w14:paraId="6DC7652B" w14:textId="77777777" w:rsidR="005A3D88" w:rsidRPr="00403192" w:rsidRDefault="00B928CC">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 xml:space="preserve">But 70% was not a magic number. The cut-off scores had a range of predictions from 0-100%.  </w:t>
      </w:r>
    </w:p>
    <w:p w14:paraId="15810561" w14:textId="1251CBBF" w:rsidR="005A3D88" w:rsidRPr="00403192" w:rsidRDefault="00B928CC" w:rsidP="00802F73">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The same data that indicated to the district t</w:t>
      </w:r>
      <w:r w:rsidR="00802F73">
        <w:rPr>
          <w:rFonts w:ascii="Times" w:eastAsia="Times New Roman" w:hAnsi="Times" w:cs="Times New Roman"/>
          <w:sz w:val="24"/>
          <w:szCs w:val="24"/>
        </w:rPr>
        <w:t xml:space="preserve">hat some students (girls and students of color) </w:t>
      </w:r>
      <w:r w:rsidRPr="00403192">
        <w:rPr>
          <w:rFonts w:ascii="Times" w:eastAsia="Times New Roman" w:hAnsi="Times" w:cs="Times New Roman"/>
          <w:sz w:val="24"/>
          <w:szCs w:val="24"/>
        </w:rPr>
        <w:t xml:space="preserve">were academically harmed by a 70% cut-off policy also demonstrated another phenomenon. A cut-off score of 80% likelihood-of-success resulted in more equitable placements than the status quo </w:t>
      </w:r>
      <w:r w:rsidRPr="00403192">
        <w:rPr>
          <w:rFonts w:ascii="Times" w:eastAsia="Times New Roman" w:hAnsi="Times" w:cs="Times New Roman"/>
          <w:i/>
          <w:sz w:val="24"/>
          <w:szCs w:val="24"/>
        </w:rPr>
        <w:t>and</w:t>
      </w:r>
      <w:r w:rsidRPr="00403192">
        <w:rPr>
          <w:rFonts w:ascii="Times" w:eastAsia="Times New Roman" w:hAnsi="Times" w:cs="Times New Roman"/>
          <w:sz w:val="24"/>
          <w:szCs w:val="24"/>
        </w:rPr>
        <w:t xml:space="preserve"> had the desired student performance out</w:t>
      </w:r>
      <w:r w:rsidR="00802F73">
        <w:rPr>
          <w:rFonts w:ascii="Times" w:eastAsia="Times New Roman" w:hAnsi="Times" w:cs="Times New Roman"/>
          <w:sz w:val="24"/>
          <w:szCs w:val="24"/>
        </w:rPr>
        <w:t xml:space="preserve">comes for Black and Hispanic students and </w:t>
      </w:r>
      <w:r w:rsidRPr="00403192">
        <w:rPr>
          <w:rFonts w:ascii="Times" w:eastAsia="Times New Roman" w:hAnsi="Times" w:cs="Times New Roman"/>
          <w:sz w:val="24"/>
          <w:szCs w:val="24"/>
        </w:rPr>
        <w:t xml:space="preserve">girls. The data, in other words, indicated that a slight change in cut-off score </w:t>
      </w:r>
      <w:r w:rsidRPr="00403192">
        <w:rPr>
          <w:rFonts w:ascii="Times" w:eastAsia="Times New Roman" w:hAnsi="Times" w:cs="Times New Roman"/>
          <w:i/>
          <w:sz w:val="24"/>
          <w:szCs w:val="24"/>
        </w:rPr>
        <w:t>eliminated</w:t>
      </w:r>
      <w:r w:rsidRPr="00403192">
        <w:rPr>
          <w:rFonts w:ascii="Times" w:eastAsia="Times New Roman" w:hAnsi="Times" w:cs="Times New Roman"/>
          <w:sz w:val="24"/>
          <w:szCs w:val="24"/>
        </w:rPr>
        <w:t xml:space="preserve"> the concern found at the initial cut-off score </w:t>
      </w:r>
      <w:r w:rsidRPr="00403192">
        <w:rPr>
          <w:rFonts w:ascii="Times" w:eastAsia="Times New Roman" w:hAnsi="Times" w:cs="Times New Roman"/>
          <w:i/>
          <w:sz w:val="24"/>
          <w:szCs w:val="24"/>
        </w:rPr>
        <w:t xml:space="preserve">and </w:t>
      </w:r>
      <w:r w:rsidRPr="00403192">
        <w:rPr>
          <w:rFonts w:ascii="Times" w:eastAsia="Times New Roman" w:hAnsi="Times" w:cs="Times New Roman"/>
          <w:sz w:val="24"/>
          <w:szCs w:val="24"/>
        </w:rPr>
        <w:t>produced more equitable placement results</w:t>
      </w:r>
      <w:r w:rsidR="00802F73">
        <w:rPr>
          <w:rFonts w:ascii="Times" w:eastAsia="Times New Roman" w:hAnsi="Times" w:cs="Times New Roman"/>
          <w:sz w:val="24"/>
          <w:szCs w:val="24"/>
        </w:rPr>
        <w:t xml:space="preserve"> than</w:t>
      </w:r>
      <w:r w:rsidRPr="00403192">
        <w:rPr>
          <w:rFonts w:ascii="Times" w:eastAsia="Times New Roman" w:hAnsi="Times" w:cs="Times New Roman"/>
          <w:sz w:val="24"/>
          <w:szCs w:val="24"/>
        </w:rPr>
        <w:t xml:space="preserve"> did prior practice.</w:t>
      </w:r>
    </w:p>
    <w:p w14:paraId="11B81D4D" w14:textId="77777777" w:rsidR="005A3D88" w:rsidRPr="00403192" w:rsidRDefault="00B928CC">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 xml:space="preserve">Rather than modulate the cut-off scores based on equity and academic success, the system chose to end the use of objective performance data for placement purposes. </w:t>
      </w:r>
    </w:p>
    <w:p w14:paraId="5F48DC40" w14:textId="3CB3399A" w:rsidR="005A3D88" w:rsidRPr="007B7B6B" w:rsidRDefault="007B7B6B" w:rsidP="007B7B6B">
      <w:pPr>
        <w:widowControl w:val="0"/>
        <w:spacing w:line="480" w:lineRule="auto"/>
        <w:jc w:val="center"/>
        <w:rPr>
          <w:rFonts w:ascii="Times" w:eastAsia="Times New Roman" w:hAnsi="Times" w:cs="Times New Roman"/>
          <w:bCs/>
          <w:sz w:val="24"/>
          <w:szCs w:val="24"/>
        </w:rPr>
      </w:pPr>
      <w:r>
        <w:rPr>
          <w:rFonts w:ascii="Times" w:eastAsia="Times New Roman" w:hAnsi="Times" w:cs="Times New Roman"/>
          <w:bCs/>
          <w:sz w:val="24"/>
          <w:szCs w:val="24"/>
        </w:rPr>
        <w:t>The Path of Most R</w:t>
      </w:r>
      <w:r w:rsidR="00B928CC" w:rsidRPr="007B7B6B">
        <w:rPr>
          <w:rFonts w:ascii="Times" w:eastAsia="Times New Roman" w:hAnsi="Times" w:cs="Times New Roman"/>
          <w:bCs/>
          <w:sz w:val="24"/>
          <w:szCs w:val="24"/>
        </w:rPr>
        <w:t>esistance</w:t>
      </w:r>
    </w:p>
    <w:p w14:paraId="093675D2" w14:textId="77777777" w:rsidR="005A3D88" w:rsidRPr="00403192" w:rsidRDefault="00B928CC">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 xml:space="preserve">Explicit efforts within a school community to provide access to high-quality mathematics coursework has not proven to be easy, or self-evident, for the professionals involved. Efforts of educators often hold steady to the tiered-opportunity model. Then, at the same time, students who qualify for these high level opportunities often meet both unintentional and intentional resistance from teachers, counselors, and administrators.  </w:t>
      </w:r>
    </w:p>
    <w:p w14:paraId="0952A25A" w14:textId="77777777" w:rsidR="005A3D88" w:rsidRPr="00403192" w:rsidRDefault="00B928CC">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 xml:space="preserve">Within the tiered-opportunity model, unintentional resistance and subsequent barriers can be identified and addressed. For instance, a school may identify an under-representation of girls selected for the science team or of African-American students recommended for the highest math </w:t>
      </w:r>
      <w:r w:rsidRPr="00403192">
        <w:rPr>
          <w:rFonts w:ascii="Times" w:eastAsia="Times New Roman" w:hAnsi="Times" w:cs="Times New Roman"/>
          <w:sz w:val="24"/>
          <w:szCs w:val="24"/>
        </w:rPr>
        <w:lastRenderedPageBreak/>
        <w:t xml:space="preserve">courses. Once a problem of this nature is identified educators can use objective performance data to identify underrepresented students. This use of data supports educators in maintaining a high quality of professional judgment. Using this objective data also protects students from the damaging impact of prior belief when it comes to academic opportunity. From there educators can then address enhanced pedagogical approaches to teaching and learning as they strive to improve mathematics instruction along with opportunity. </w:t>
      </w:r>
    </w:p>
    <w:p w14:paraId="422B1EDA" w14:textId="0702FA11" w:rsidR="005A3D88" w:rsidRPr="00403192" w:rsidRDefault="00B928CC" w:rsidP="00802F73">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The reality tends to look a little different. Keep in mind the conditions and demands faced by teachers as discussed in Chapter 3. Change within this context can be difficult. And this includes change that requires an understanding of issues such as implicit biases and student lea</w:t>
      </w:r>
      <w:r w:rsidR="00802F73">
        <w:rPr>
          <w:rFonts w:ascii="Times" w:eastAsia="Times New Roman" w:hAnsi="Times" w:cs="Times New Roman"/>
          <w:sz w:val="24"/>
          <w:szCs w:val="24"/>
        </w:rPr>
        <w:t>rning. And so, although educators</w:t>
      </w:r>
      <w:r w:rsidRPr="00403192">
        <w:rPr>
          <w:rFonts w:ascii="Times" w:eastAsia="Times New Roman" w:hAnsi="Times" w:cs="Times New Roman"/>
          <w:sz w:val="24"/>
          <w:szCs w:val="24"/>
        </w:rPr>
        <w:t xml:space="preserve"> are initially willing to try new approaches to the problem, </w:t>
      </w:r>
      <w:r w:rsidR="00802F73">
        <w:rPr>
          <w:rFonts w:ascii="Times" w:eastAsia="Times New Roman" w:hAnsi="Times" w:cs="Times New Roman"/>
          <w:sz w:val="24"/>
          <w:szCs w:val="24"/>
        </w:rPr>
        <w:t>teachers</w:t>
      </w:r>
      <w:r w:rsidRPr="00403192">
        <w:rPr>
          <w:rFonts w:ascii="Times" w:eastAsia="Times New Roman" w:hAnsi="Times" w:cs="Times New Roman"/>
          <w:sz w:val="24"/>
          <w:szCs w:val="24"/>
        </w:rPr>
        <w:t xml:space="preserve"> often balk at procedural and instructional solutions that demand significant changes in their own beliefs and behaviors. </w:t>
      </w:r>
    </w:p>
    <w:p w14:paraId="0B4B67F7" w14:textId="77777777" w:rsidR="005A3D88" w:rsidRPr="00403192" w:rsidRDefault="00B928CC">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It should not be surprising that efforts for equitable access to high-quality opportunity has proven a formidable task</w:t>
      </w:r>
      <w:r w:rsidR="00403192" w:rsidRPr="00403192">
        <w:rPr>
          <w:rFonts w:ascii="Times" w:eastAsia="Times New Roman" w:hAnsi="Times" w:cs="Times New Roman"/>
          <w:sz w:val="24"/>
          <w:szCs w:val="24"/>
          <w:vertAlign w:val="superscript"/>
        </w:rPr>
        <w:endnoteReference w:id="8"/>
      </w:r>
      <w:r w:rsidR="00403192" w:rsidRPr="00403192">
        <w:rPr>
          <w:rFonts w:ascii="Times" w:eastAsia="Times New Roman" w:hAnsi="Times" w:cs="Times New Roman"/>
          <w:sz w:val="24"/>
          <w:szCs w:val="24"/>
        </w:rPr>
        <w:t>. Educators and the school districts that they run often possess deeply held beliefs and attitudes about intelligence, racial differences, social class, privilege, and entitlements that affect student access to high-quality instruction</w:t>
      </w:r>
      <w:r w:rsidR="00403192" w:rsidRPr="00403192">
        <w:rPr>
          <w:rFonts w:ascii="Times" w:eastAsia="Times New Roman" w:hAnsi="Times" w:cs="Times New Roman"/>
          <w:sz w:val="24"/>
          <w:szCs w:val="24"/>
          <w:vertAlign w:val="superscript"/>
        </w:rPr>
        <w:endnoteReference w:id="9"/>
      </w:r>
      <w:r w:rsidR="00403192" w:rsidRPr="00403192">
        <w:rPr>
          <w:rFonts w:ascii="Times" w:eastAsia="Times New Roman" w:hAnsi="Times" w:cs="Times New Roman"/>
          <w:sz w:val="24"/>
          <w:szCs w:val="24"/>
        </w:rPr>
        <w:t>.</w:t>
      </w:r>
      <w:r w:rsidRPr="00403192">
        <w:rPr>
          <w:rFonts w:ascii="Times" w:eastAsia="Times New Roman" w:hAnsi="Times" w:cs="Times New Roman"/>
          <w:sz w:val="24"/>
          <w:szCs w:val="24"/>
        </w:rPr>
        <w:t xml:space="preserve"> Educators involved in school mandates that provide tiered opportunities, such as gifted and talented programs, have a stake in maintaining the status quo and the philosophies surrounding that status quo. This may mean that any changes in school practices and policies are resisted. Moreover, affluent parents often exercise their “privilege” by voicing concerns about “equitable policies” they fear will eliminate tiered opportunities for their children</w:t>
      </w:r>
      <w:r w:rsidR="00403192" w:rsidRPr="00403192">
        <w:rPr>
          <w:rFonts w:ascii="Times" w:eastAsia="Times New Roman" w:hAnsi="Times" w:cs="Times New Roman"/>
          <w:sz w:val="24"/>
          <w:szCs w:val="24"/>
          <w:vertAlign w:val="superscript"/>
        </w:rPr>
        <w:endnoteReference w:id="10"/>
      </w:r>
      <w:r w:rsidR="00403192" w:rsidRPr="00403192">
        <w:rPr>
          <w:rFonts w:ascii="Times" w:eastAsia="Times New Roman" w:hAnsi="Times" w:cs="Times New Roman"/>
          <w:sz w:val="24"/>
          <w:szCs w:val="24"/>
        </w:rPr>
        <w:t>.</w:t>
      </w:r>
      <w:r w:rsidRPr="00403192">
        <w:rPr>
          <w:rFonts w:ascii="Times" w:eastAsia="Times New Roman" w:hAnsi="Times" w:cs="Times New Roman"/>
          <w:sz w:val="24"/>
          <w:szCs w:val="24"/>
        </w:rPr>
        <w:t xml:space="preserve"> </w:t>
      </w:r>
    </w:p>
    <w:p w14:paraId="66E02F3E" w14:textId="6F69F81C" w:rsidR="005A3D88" w:rsidRPr="00403192" w:rsidRDefault="00B928CC">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 xml:space="preserve">And so, reactions to equitable student opportunity can quickly come to function as intentional resistance even though it is often unacknowledged. Intentional resistance, as we have </w:t>
      </w:r>
      <w:r w:rsidRPr="00403192">
        <w:rPr>
          <w:rFonts w:ascii="Times" w:eastAsia="Times New Roman" w:hAnsi="Times" w:cs="Times New Roman"/>
          <w:sz w:val="24"/>
          <w:szCs w:val="24"/>
        </w:rPr>
        <w:lastRenderedPageBreak/>
        <w:t>witnessed it in the school setting, manifests as a pattern of ignoring objective achievement data and proven pedagogical approaches to student success.</w:t>
      </w:r>
      <w:r w:rsidRPr="00403192">
        <w:rPr>
          <w:rFonts w:ascii="Times" w:eastAsia="Times New Roman" w:hAnsi="Times" w:cs="Times New Roman"/>
          <w:color w:val="3C78D8"/>
          <w:sz w:val="24"/>
          <w:szCs w:val="24"/>
        </w:rPr>
        <w:t xml:space="preserve"> </w:t>
      </w:r>
      <w:r w:rsidRPr="00403192">
        <w:rPr>
          <w:rFonts w:ascii="Times" w:eastAsia="Times New Roman" w:hAnsi="Times" w:cs="Times New Roman"/>
          <w:sz w:val="24"/>
          <w:szCs w:val="24"/>
        </w:rPr>
        <w:t>We’ve experienced educators acknowledging that new pedagogical strategies may work for students they’ve identified for placement into advanced courses.  At the same time these same educators may be convinced that these new, proven, strategies will not be successful with those students thought to be incapable of performing well in rigorous math courses. The cases o</w:t>
      </w:r>
      <w:r w:rsidR="00061D5B">
        <w:rPr>
          <w:rFonts w:ascii="Times" w:eastAsia="Times New Roman" w:hAnsi="Times" w:cs="Times New Roman"/>
          <w:sz w:val="24"/>
          <w:szCs w:val="24"/>
        </w:rPr>
        <w:t>f Alexander, Laila and, Inconsistent Leadership</w:t>
      </w:r>
      <w:r w:rsidRPr="00403192">
        <w:rPr>
          <w:rFonts w:ascii="Times" w:eastAsia="Times New Roman" w:hAnsi="Times" w:cs="Times New Roman"/>
          <w:sz w:val="24"/>
          <w:szCs w:val="24"/>
        </w:rPr>
        <w:t>, chronicled above, serve as examples of this phenomenon.</w:t>
      </w:r>
    </w:p>
    <w:p w14:paraId="123188BC" w14:textId="77777777" w:rsidR="00802F73" w:rsidRDefault="00B928CC" w:rsidP="00802F73">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As we will discuss further in the next chapter, placement policies about providing access to high-quality courses and instruction should not vary by year or by school or by leadership in any given school district. Each school district should create policies and procedures that meet the needs of all students and are fully understood and consistently i</w:t>
      </w:r>
      <w:r w:rsidR="00802F73">
        <w:rPr>
          <w:rFonts w:ascii="Times" w:eastAsia="Times New Roman" w:hAnsi="Times" w:cs="Times New Roman"/>
          <w:sz w:val="24"/>
          <w:szCs w:val="24"/>
        </w:rPr>
        <w:t>mplemented by school officials.</w:t>
      </w:r>
    </w:p>
    <w:p w14:paraId="17778277" w14:textId="055F1922" w:rsidR="005A3D88" w:rsidRPr="00802F73" w:rsidRDefault="00B928CC" w:rsidP="00802F73">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We have so far considered how the data-driven ethic has some problems from the perspective of enactment. Beliefs bump up against data. A disregard for protocol may ensue. We will look further at the idea of the belief story, and how it impacts the interpretation of data in Chapter 6.  For now, note that data does not tend to trigger actions or shape bel</w:t>
      </w:r>
      <w:r w:rsidR="00802F73">
        <w:rPr>
          <w:rFonts w:ascii="Times" w:eastAsia="Times New Roman" w:hAnsi="Times" w:cs="Times New Roman"/>
          <w:sz w:val="24"/>
          <w:szCs w:val="24"/>
        </w:rPr>
        <w:t>iefs. In other words, beliefs</w:t>
      </w:r>
      <w:r w:rsidRPr="00403192">
        <w:rPr>
          <w:rFonts w:ascii="Times" w:eastAsia="Times New Roman" w:hAnsi="Times" w:cs="Times New Roman"/>
          <w:sz w:val="24"/>
          <w:szCs w:val="24"/>
        </w:rPr>
        <w:t xml:space="preserve"> drive our relationship to data, and not the other way around. Given this, let’s consider how beliefs might arise in the professional work of teaching. In particular, what might it look like to have a belief interrupted so that the academic data has a chance to be seen?</w:t>
      </w:r>
    </w:p>
    <w:p w14:paraId="1653D19B" w14:textId="54CE601E" w:rsidR="005A3D88" w:rsidRPr="00405760" w:rsidRDefault="00B928CC" w:rsidP="00405760">
      <w:pPr>
        <w:spacing w:after="0"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 xml:space="preserve">In Chapter 6, we consider the human-side of processing data and proffer a set of solutions to the questions we have raised. </w:t>
      </w:r>
      <w:r w:rsidRPr="00403192">
        <w:rPr>
          <w:rFonts w:ascii="Times" w:eastAsia="Times New Roman" w:hAnsi="Times" w:cs="Times New Roman"/>
          <w:color w:val="222222"/>
          <w:sz w:val="24"/>
          <w:szCs w:val="24"/>
        </w:rPr>
        <w:t>Once we understand that our beliefs are what drive our interpretation of data, then a corollary presents itself: When we see how data gets interpreted, we see our own beliefs. And, what’s more, when we see our own beliefs, questi</w:t>
      </w:r>
      <w:r w:rsidR="00802F73">
        <w:rPr>
          <w:rFonts w:ascii="Times" w:eastAsia="Times New Roman" w:hAnsi="Times" w:cs="Times New Roman"/>
          <w:color w:val="222222"/>
          <w:sz w:val="24"/>
          <w:szCs w:val="24"/>
        </w:rPr>
        <w:t xml:space="preserve">ons arise about equity, parity, and </w:t>
      </w:r>
      <w:r w:rsidRPr="00403192">
        <w:rPr>
          <w:rFonts w:ascii="Times" w:eastAsia="Times New Roman" w:hAnsi="Times" w:cs="Times New Roman"/>
          <w:color w:val="222222"/>
          <w:sz w:val="24"/>
          <w:szCs w:val="24"/>
        </w:rPr>
        <w:t xml:space="preserve">intention. </w:t>
      </w:r>
      <w:bookmarkStart w:id="0" w:name="_t6wsz5ubnf33" w:colFirst="0" w:colLast="0"/>
      <w:bookmarkEnd w:id="0"/>
    </w:p>
    <w:sectPr w:rsidR="005A3D88" w:rsidRPr="00405760" w:rsidSect="0040576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BE7A95" w14:textId="77777777" w:rsidR="00902F4F" w:rsidRDefault="00902F4F">
      <w:pPr>
        <w:spacing w:after="0" w:line="240" w:lineRule="auto"/>
      </w:pPr>
      <w:r>
        <w:separator/>
      </w:r>
    </w:p>
  </w:endnote>
  <w:endnote w:type="continuationSeparator" w:id="0">
    <w:p w14:paraId="40426416" w14:textId="77777777" w:rsidR="00902F4F" w:rsidRDefault="00902F4F">
      <w:pPr>
        <w:spacing w:after="0" w:line="240" w:lineRule="auto"/>
      </w:pPr>
      <w:r>
        <w:continuationSeparator/>
      </w:r>
    </w:p>
  </w:endnote>
  <w:endnote w:id="1">
    <w:p w14:paraId="0AE35ABD" w14:textId="77777777" w:rsidR="001E6314" w:rsidRDefault="007B7B6B">
      <w:pPr>
        <w:pStyle w:val="EndnoteText"/>
        <w:rPr>
          <w:rFonts w:asciiTheme="majorHAnsi" w:eastAsia="Arial" w:hAnsiTheme="majorHAnsi" w:cs="Arial"/>
          <w:color w:val="222222"/>
          <w:sz w:val="20"/>
          <w:szCs w:val="20"/>
        </w:rPr>
      </w:pPr>
      <w:r>
        <w:rPr>
          <w:rStyle w:val="EndnoteReference"/>
        </w:rPr>
        <w:endnoteRef/>
      </w:r>
      <w:r>
        <w:t xml:space="preserve"> </w:t>
      </w:r>
      <w:r w:rsidR="001E6314" w:rsidRPr="00FA4364">
        <w:rPr>
          <w:rFonts w:asciiTheme="majorHAnsi" w:eastAsia="Arial" w:hAnsiTheme="majorHAnsi" w:cs="Arial"/>
          <w:color w:val="222222"/>
          <w:sz w:val="20"/>
          <w:szCs w:val="20"/>
          <w:highlight w:val="white"/>
        </w:rPr>
        <w:t xml:space="preserve">Card, D., &amp; Giuliano, L. (2015). </w:t>
      </w:r>
      <w:r w:rsidR="001E6314" w:rsidRPr="00FA4364">
        <w:rPr>
          <w:rFonts w:asciiTheme="majorHAnsi" w:eastAsia="Arial" w:hAnsiTheme="majorHAnsi" w:cs="Arial"/>
          <w:i/>
          <w:color w:val="222222"/>
          <w:sz w:val="20"/>
          <w:szCs w:val="20"/>
          <w:highlight w:val="white"/>
        </w:rPr>
        <w:t>Can universal screening increase the representation of low income and minority students in gifted education?</w:t>
      </w:r>
      <w:r w:rsidR="001E6314" w:rsidRPr="00FA4364">
        <w:rPr>
          <w:rFonts w:asciiTheme="majorHAnsi" w:eastAsia="Arial" w:hAnsiTheme="majorHAnsi" w:cs="Arial"/>
          <w:color w:val="222222"/>
          <w:sz w:val="20"/>
          <w:szCs w:val="20"/>
          <w:highlight w:val="white"/>
        </w:rPr>
        <w:t xml:space="preserve"> (No. w21519). National Bureau of Economic Research. </w:t>
      </w:r>
    </w:p>
    <w:p w14:paraId="604ACD67" w14:textId="53EB3586" w:rsidR="007B7B6B" w:rsidRDefault="001E6314">
      <w:pPr>
        <w:pStyle w:val="EndnoteText"/>
      </w:pPr>
      <w:r>
        <w:rPr>
          <w:rFonts w:asciiTheme="majorHAnsi" w:eastAsia="Arial" w:hAnsiTheme="majorHAnsi" w:cs="Arial"/>
          <w:color w:val="222222"/>
          <w:sz w:val="20"/>
          <w:szCs w:val="20"/>
        </w:rPr>
        <w:t>See also</w:t>
      </w:r>
      <w:r w:rsidR="0031453B">
        <w:rPr>
          <w:rFonts w:asciiTheme="majorHAnsi" w:eastAsia="Arial" w:hAnsiTheme="majorHAnsi" w:cs="Arial"/>
          <w:color w:val="222222"/>
          <w:sz w:val="20"/>
          <w:szCs w:val="20"/>
        </w:rPr>
        <w:t xml:space="preserve"> a report on and expansion of the implications of this study in</w:t>
      </w:r>
      <w:r>
        <w:rPr>
          <w:rFonts w:asciiTheme="majorHAnsi" w:eastAsia="Arial" w:hAnsiTheme="majorHAnsi" w:cs="Arial"/>
          <w:color w:val="222222"/>
          <w:sz w:val="20"/>
          <w:szCs w:val="20"/>
        </w:rPr>
        <w:t xml:space="preserve"> </w:t>
      </w:r>
      <w:proofErr w:type="spellStart"/>
      <w:r w:rsidR="007B7B6B" w:rsidRPr="0099675B">
        <w:rPr>
          <w:rFonts w:asciiTheme="majorHAnsi" w:eastAsia="Times New Roman" w:hAnsiTheme="majorHAnsi" w:cs="Times New Roman"/>
          <w:sz w:val="20"/>
          <w:szCs w:val="20"/>
        </w:rPr>
        <w:t>Dynarski</w:t>
      </w:r>
      <w:proofErr w:type="spellEnd"/>
      <w:r w:rsidR="007B7B6B" w:rsidRPr="0099675B">
        <w:rPr>
          <w:rFonts w:asciiTheme="majorHAnsi" w:eastAsia="Times New Roman" w:hAnsiTheme="majorHAnsi" w:cs="Times New Roman"/>
          <w:sz w:val="20"/>
          <w:szCs w:val="20"/>
        </w:rPr>
        <w:t xml:space="preserve">, S. (2016, 10 April). Why talented Black and Hispanic students can go undiscovered. </w:t>
      </w:r>
      <w:r w:rsidR="007B7B6B" w:rsidRPr="0099675B">
        <w:rPr>
          <w:rFonts w:asciiTheme="majorHAnsi" w:eastAsia="Times New Roman" w:hAnsiTheme="majorHAnsi" w:cs="Times New Roman"/>
          <w:i/>
          <w:sz w:val="20"/>
          <w:szCs w:val="20"/>
        </w:rPr>
        <w:t>The New York Times</w:t>
      </w:r>
      <w:r w:rsidR="007B7B6B" w:rsidRPr="0099675B">
        <w:rPr>
          <w:rFonts w:asciiTheme="majorHAnsi" w:eastAsia="Times New Roman" w:hAnsiTheme="majorHAnsi" w:cs="Times New Roman"/>
          <w:sz w:val="20"/>
          <w:szCs w:val="20"/>
        </w:rPr>
        <w:t>, p. BU6</w:t>
      </w:r>
    </w:p>
  </w:endnote>
  <w:endnote w:id="2">
    <w:p w14:paraId="08EE94FA" w14:textId="4C28B80B" w:rsidR="00403192" w:rsidRPr="0099675B" w:rsidRDefault="00403192" w:rsidP="00456338">
      <w:pPr>
        <w:pBdr>
          <w:top w:val="nil"/>
          <w:left w:val="nil"/>
          <w:bottom w:val="nil"/>
          <w:right w:val="nil"/>
          <w:between w:val="nil"/>
        </w:pBdr>
        <w:spacing w:after="0" w:line="240" w:lineRule="auto"/>
        <w:rPr>
          <w:rFonts w:asciiTheme="majorHAnsi" w:eastAsia="Times New Roman" w:hAnsiTheme="majorHAnsi" w:cs="Times New Roman"/>
          <w:color w:val="000000"/>
          <w:sz w:val="20"/>
          <w:szCs w:val="20"/>
        </w:rPr>
      </w:pPr>
      <w:r w:rsidRPr="0099675B">
        <w:rPr>
          <w:rFonts w:asciiTheme="majorHAnsi" w:hAnsiTheme="majorHAnsi"/>
          <w:sz w:val="20"/>
          <w:szCs w:val="20"/>
          <w:vertAlign w:val="superscript"/>
        </w:rPr>
        <w:endnoteRef/>
      </w:r>
      <w:r w:rsidRPr="0099675B">
        <w:rPr>
          <w:rFonts w:asciiTheme="majorHAnsi" w:hAnsiTheme="majorHAnsi"/>
          <w:sz w:val="20"/>
          <w:szCs w:val="20"/>
        </w:rPr>
        <w:t xml:space="preserve"> </w:t>
      </w:r>
      <w:r w:rsidRPr="0099675B">
        <w:rPr>
          <w:rFonts w:asciiTheme="majorHAnsi" w:eastAsia="Times New Roman" w:hAnsiTheme="majorHAnsi" w:cs="Times New Roman"/>
          <w:sz w:val="20"/>
          <w:szCs w:val="20"/>
        </w:rPr>
        <w:t xml:space="preserve"> </w:t>
      </w:r>
      <w:r w:rsidR="00456338" w:rsidRPr="0099675B">
        <w:rPr>
          <w:rFonts w:asciiTheme="majorHAnsi" w:eastAsia="Times New Roman" w:hAnsiTheme="majorHAnsi" w:cs="Times New Roman"/>
          <w:color w:val="000000"/>
          <w:sz w:val="20"/>
          <w:szCs w:val="20"/>
        </w:rPr>
        <w:t xml:space="preserve">Mayer, A. (2008). Understanding how U.S. secondary schools sort students for instructional purposes: Are all students being served equally?” </w:t>
      </w:r>
      <w:r w:rsidR="00456338" w:rsidRPr="0099675B">
        <w:rPr>
          <w:rFonts w:asciiTheme="majorHAnsi" w:eastAsia="Times New Roman" w:hAnsiTheme="majorHAnsi" w:cs="Times New Roman"/>
          <w:i/>
          <w:color w:val="000000"/>
          <w:sz w:val="20"/>
          <w:szCs w:val="20"/>
        </w:rPr>
        <w:t>American Secondary Education,</w:t>
      </w:r>
      <w:r w:rsidR="00456338" w:rsidRPr="0099675B">
        <w:rPr>
          <w:rFonts w:asciiTheme="majorHAnsi" w:eastAsia="Times New Roman" w:hAnsiTheme="majorHAnsi" w:cs="Times New Roman"/>
          <w:color w:val="000000"/>
          <w:sz w:val="20"/>
          <w:szCs w:val="20"/>
        </w:rPr>
        <w:t xml:space="preserve"> 36(2): 7–25.</w:t>
      </w:r>
    </w:p>
  </w:endnote>
  <w:endnote w:id="3">
    <w:p w14:paraId="43D5ED3F" w14:textId="575340B3" w:rsidR="00403192" w:rsidRPr="0099675B" w:rsidRDefault="00403192">
      <w:pPr>
        <w:spacing w:after="0" w:line="240" w:lineRule="auto"/>
        <w:rPr>
          <w:rFonts w:asciiTheme="majorHAnsi" w:hAnsiTheme="majorHAnsi"/>
          <w:sz w:val="20"/>
          <w:szCs w:val="20"/>
        </w:rPr>
      </w:pPr>
      <w:r w:rsidRPr="0099675B">
        <w:rPr>
          <w:rFonts w:asciiTheme="majorHAnsi" w:hAnsiTheme="majorHAnsi"/>
          <w:sz w:val="20"/>
          <w:szCs w:val="20"/>
          <w:vertAlign w:val="superscript"/>
        </w:rPr>
        <w:endnoteRef/>
      </w:r>
      <w:r w:rsidRPr="0099675B">
        <w:rPr>
          <w:rFonts w:asciiTheme="majorHAnsi" w:hAnsiTheme="majorHAnsi"/>
          <w:sz w:val="20"/>
          <w:szCs w:val="20"/>
        </w:rPr>
        <w:t xml:space="preserve"> </w:t>
      </w:r>
      <w:r w:rsidRPr="0099675B">
        <w:rPr>
          <w:rFonts w:asciiTheme="majorHAnsi" w:eastAsia="Times New Roman" w:hAnsiTheme="majorHAnsi" w:cs="Times New Roman"/>
          <w:sz w:val="20"/>
          <w:szCs w:val="20"/>
        </w:rPr>
        <w:t xml:space="preserve"> </w:t>
      </w:r>
      <w:r w:rsidR="00B65014" w:rsidRPr="0099675B">
        <w:rPr>
          <w:rFonts w:asciiTheme="majorHAnsi" w:eastAsia="Times New Roman" w:hAnsiTheme="majorHAnsi" w:cs="Times New Roman"/>
          <w:sz w:val="20"/>
          <w:szCs w:val="20"/>
        </w:rPr>
        <w:t>Stiff &amp; Johnson, 2011</w:t>
      </w:r>
    </w:p>
  </w:endnote>
  <w:endnote w:id="4">
    <w:p w14:paraId="00FB6D19" w14:textId="68FC3628" w:rsidR="00403192" w:rsidRPr="0099675B" w:rsidRDefault="00403192">
      <w:pPr>
        <w:spacing w:after="0" w:line="240" w:lineRule="auto"/>
        <w:rPr>
          <w:rFonts w:asciiTheme="majorHAnsi" w:hAnsiTheme="majorHAnsi"/>
          <w:sz w:val="20"/>
          <w:szCs w:val="20"/>
        </w:rPr>
      </w:pPr>
      <w:r w:rsidRPr="0099675B">
        <w:rPr>
          <w:rFonts w:asciiTheme="majorHAnsi" w:hAnsiTheme="majorHAnsi"/>
          <w:sz w:val="20"/>
          <w:szCs w:val="20"/>
          <w:vertAlign w:val="superscript"/>
        </w:rPr>
        <w:endnoteRef/>
      </w:r>
      <w:r w:rsidRPr="0099675B">
        <w:rPr>
          <w:rFonts w:asciiTheme="majorHAnsi" w:hAnsiTheme="majorHAnsi"/>
          <w:sz w:val="20"/>
          <w:szCs w:val="20"/>
        </w:rPr>
        <w:t xml:space="preserve"> </w:t>
      </w:r>
      <w:proofErr w:type="spellStart"/>
      <w:r w:rsidRPr="0099675B">
        <w:rPr>
          <w:rFonts w:asciiTheme="majorHAnsi" w:eastAsia="Times New Roman" w:hAnsiTheme="majorHAnsi" w:cs="Times New Roman"/>
          <w:sz w:val="20"/>
          <w:szCs w:val="20"/>
        </w:rPr>
        <w:t>Akos</w:t>
      </w:r>
      <w:proofErr w:type="spellEnd"/>
      <w:r w:rsidR="00B65014" w:rsidRPr="0099675B">
        <w:rPr>
          <w:rFonts w:asciiTheme="majorHAnsi" w:eastAsia="Times New Roman" w:hAnsiTheme="majorHAnsi" w:cs="Times New Roman"/>
          <w:sz w:val="20"/>
          <w:szCs w:val="20"/>
        </w:rPr>
        <w:t>, P.</w:t>
      </w:r>
      <w:r w:rsidRPr="0099675B">
        <w:rPr>
          <w:rFonts w:asciiTheme="majorHAnsi" w:eastAsia="Times New Roman" w:hAnsiTheme="majorHAnsi" w:cs="Times New Roman"/>
          <w:sz w:val="20"/>
          <w:szCs w:val="20"/>
        </w:rPr>
        <w:t>, Shoffner</w:t>
      </w:r>
      <w:r w:rsidR="00B81191" w:rsidRPr="0099675B">
        <w:rPr>
          <w:rFonts w:asciiTheme="majorHAnsi" w:eastAsia="Times New Roman" w:hAnsiTheme="majorHAnsi" w:cs="Times New Roman"/>
          <w:sz w:val="20"/>
          <w:szCs w:val="20"/>
        </w:rPr>
        <w:t>, M.</w:t>
      </w:r>
      <w:r w:rsidRPr="0099675B">
        <w:rPr>
          <w:rFonts w:asciiTheme="majorHAnsi" w:eastAsia="Times New Roman" w:hAnsiTheme="majorHAnsi" w:cs="Times New Roman"/>
          <w:sz w:val="20"/>
          <w:szCs w:val="20"/>
        </w:rPr>
        <w:t>, &amp; Ellis</w:t>
      </w:r>
      <w:r w:rsidR="00B81191" w:rsidRPr="0099675B">
        <w:rPr>
          <w:rFonts w:asciiTheme="majorHAnsi" w:eastAsia="Times New Roman" w:hAnsiTheme="majorHAnsi" w:cs="Times New Roman"/>
          <w:sz w:val="20"/>
          <w:szCs w:val="20"/>
        </w:rPr>
        <w:t xml:space="preserve">, M. (2007). Mathematics placement and the transition to middle school. </w:t>
      </w:r>
      <w:r w:rsidR="00B81191" w:rsidRPr="0099675B">
        <w:rPr>
          <w:rFonts w:asciiTheme="majorHAnsi" w:eastAsia="Times New Roman" w:hAnsiTheme="majorHAnsi" w:cs="Times New Roman"/>
          <w:i/>
          <w:sz w:val="20"/>
          <w:szCs w:val="20"/>
        </w:rPr>
        <w:t>Professional School Counseling</w:t>
      </w:r>
      <w:r w:rsidR="00B81191" w:rsidRPr="0099675B">
        <w:rPr>
          <w:rFonts w:asciiTheme="majorHAnsi" w:eastAsia="Times New Roman" w:hAnsiTheme="majorHAnsi" w:cs="Times New Roman"/>
          <w:sz w:val="20"/>
          <w:szCs w:val="20"/>
        </w:rPr>
        <w:t>, 10(3), 238–44</w:t>
      </w:r>
    </w:p>
  </w:endnote>
  <w:endnote w:id="5">
    <w:p w14:paraId="4894F814" w14:textId="77777777" w:rsidR="00403192" w:rsidRPr="0099675B" w:rsidRDefault="00403192">
      <w:pPr>
        <w:spacing w:after="0" w:line="240" w:lineRule="auto"/>
        <w:rPr>
          <w:rFonts w:asciiTheme="majorHAnsi" w:hAnsiTheme="majorHAnsi"/>
          <w:sz w:val="20"/>
          <w:szCs w:val="20"/>
        </w:rPr>
      </w:pPr>
      <w:r w:rsidRPr="0099675B">
        <w:rPr>
          <w:rFonts w:asciiTheme="majorHAnsi" w:hAnsiTheme="majorHAnsi"/>
          <w:sz w:val="20"/>
          <w:szCs w:val="20"/>
          <w:vertAlign w:val="superscript"/>
        </w:rPr>
        <w:endnoteRef/>
      </w:r>
      <w:r w:rsidRPr="0099675B">
        <w:rPr>
          <w:rFonts w:asciiTheme="majorHAnsi" w:hAnsiTheme="majorHAnsi"/>
          <w:sz w:val="20"/>
          <w:szCs w:val="20"/>
        </w:rPr>
        <w:t xml:space="preserve"> </w:t>
      </w:r>
      <w:r w:rsidRPr="0099675B">
        <w:rPr>
          <w:rFonts w:asciiTheme="majorHAnsi" w:eastAsia="Times New Roman" w:hAnsiTheme="majorHAnsi" w:cs="Times New Roman"/>
          <w:sz w:val="20"/>
          <w:szCs w:val="20"/>
        </w:rPr>
        <w:t>Grissom and Redding, 2016</w:t>
      </w:r>
    </w:p>
  </w:endnote>
  <w:endnote w:id="6">
    <w:p w14:paraId="15FDE040" w14:textId="01B887C4" w:rsidR="00403192" w:rsidRPr="0099675B" w:rsidRDefault="00403192">
      <w:pPr>
        <w:spacing w:after="0" w:line="240" w:lineRule="auto"/>
        <w:rPr>
          <w:rFonts w:asciiTheme="majorHAnsi" w:hAnsiTheme="majorHAnsi"/>
          <w:sz w:val="20"/>
          <w:szCs w:val="20"/>
        </w:rPr>
      </w:pPr>
      <w:r w:rsidRPr="0099675B">
        <w:rPr>
          <w:rFonts w:asciiTheme="majorHAnsi" w:hAnsiTheme="majorHAnsi"/>
          <w:sz w:val="20"/>
          <w:szCs w:val="20"/>
          <w:vertAlign w:val="superscript"/>
        </w:rPr>
        <w:endnoteRef/>
      </w:r>
      <w:r w:rsidRPr="0099675B">
        <w:rPr>
          <w:rFonts w:asciiTheme="majorHAnsi" w:hAnsiTheme="majorHAnsi"/>
          <w:sz w:val="20"/>
          <w:szCs w:val="20"/>
        </w:rPr>
        <w:t xml:space="preserve"> </w:t>
      </w:r>
      <w:r w:rsidRPr="0099675B">
        <w:rPr>
          <w:rFonts w:asciiTheme="majorHAnsi" w:eastAsia="Times New Roman" w:hAnsiTheme="majorHAnsi" w:cs="Times New Roman"/>
          <w:sz w:val="20"/>
          <w:szCs w:val="20"/>
        </w:rPr>
        <w:t>Mayer, (2008).</w:t>
      </w:r>
    </w:p>
  </w:endnote>
  <w:endnote w:id="7">
    <w:p w14:paraId="4790B30B" w14:textId="70A47AF2" w:rsidR="00403192" w:rsidRPr="0099675B" w:rsidRDefault="00403192" w:rsidP="0031453B">
      <w:pPr>
        <w:spacing w:after="0" w:line="240" w:lineRule="auto"/>
        <w:rPr>
          <w:rFonts w:asciiTheme="majorHAnsi" w:hAnsiTheme="majorHAnsi"/>
          <w:sz w:val="20"/>
          <w:szCs w:val="20"/>
        </w:rPr>
      </w:pPr>
      <w:r w:rsidRPr="0099675B">
        <w:rPr>
          <w:rFonts w:asciiTheme="majorHAnsi" w:hAnsiTheme="majorHAnsi"/>
          <w:sz w:val="20"/>
          <w:szCs w:val="20"/>
          <w:vertAlign w:val="superscript"/>
        </w:rPr>
        <w:endnoteRef/>
      </w:r>
      <w:r w:rsidRPr="0099675B">
        <w:rPr>
          <w:rFonts w:asciiTheme="majorHAnsi" w:hAnsiTheme="majorHAnsi"/>
          <w:sz w:val="20"/>
          <w:szCs w:val="20"/>
        </w:rPr>
        <w:t xml:space="preserve"> </w:t>
      </w:r>
      <w:r w:rsidR="0031453B">
        <w:rPr>
          <w:rFonts w:asciiTheme="majorHAnsi" w:hAnsiTheme="majorHAnsi"/>
          <w:sz w:val="20"/>
          <w:szCs w:val="20"/>
        </w:rPr>
        <w:t>As well as the first-hand experience of the authors</w:t>
      </w:r>
      <w:r w:rsidR="00F56D8B">
        <w:rPr>
          <w:rFonts w:asciiTheme="majorHAnsi" w:hAnsiTheme="majorHAnsi"/>
          <w:sz w:val="20"/>
          <w:szCs w:val="20"/>
        </w:rPr>
        <w:t>,</w:t>
      </w:r>
      <w:r w:rsidR="0031453B">
        <w:rPr>
          <w:rFonts w:asciiTheme="majorHAnsi" w:hAnsiTheme="majorHAnsi"/>
          <w:sz w:val="20"/>
          <w:szCs w:val="20"/>
        </w:rPr>
        <w:t xml:space="preserve"> a citation is also available here</w:t>
      </w:r>
      <w:r w:rsidR="00F56D8B">
        <w:rPr>
          <w:rFonts w:asciiTheme="majorHAnsi" w:hAnsiTheme="majorHAnsi"/>
          <w:sz w:val="20"/>
          <w:szCs w:val="20"/>
        </w:rPr>
        <w:t xml:space="preserve">. It is not provided </w:t>
      </w:r>
      <w:r w:rsidR="0031453B">
        <w:rPr>
          <w:rFonts w:asciiTheme="majorHAnsi" w:hAnsiTheme="majorHAnsi"/>
          <w:sz w:val="20"/>
          <w:szCs w:val="20"/>
        </w:rPr>
        <w:t>in order to maintain school district confidentiality throughout this chapter.</w:t>
      </w:r>
    </w:p>
  </w:endnote>
  <w:endnote w:id="8">
    <w:p w14:paraId="153184E4" w14:textId="12FEBD90" w:rsidR="00403192" w:rsidRPr="0099675B" w:rsidRDefault="00403192" w:rsidP="001E6314">
      <w:pPr>
        <w:spacing w:after="0" w:line="240" w:lineRule="auto"/>
        <w:rPr>
          <w:rFonts w:asciiTheme="majorHAnsi" w:hAnsiTheme="majorHAnsi"/>
          <w:sz w:val="20"/>
          <w:szCs w:val="20"/>
        </w:rPr>
      </w:pPr>
      <w:r w:rsidRPr="0099675B">
        <w:rPr>
          <w:rFonts w:asciiTheme="majorHAnsi" w:hAnsiTheme="majorHAnsi"/>
          <w:sz w:val="20"/>
          <w:szCs w:val="20"/>
          <w:vertAlign w:val="superscript"/>
        </w:rPr>
        <w:endnoteRef/>
      </w:r>
      <w:r w:rsidRPr="0099675B">
        <w:rPr>
          <w:rFonts w:asciiTheme="majorHAnsi" w:hAnsiTheme="majorHAnsi"/>
          <w:sz w:val="20"/>
          <w:szCs w:val="20"/>
        </w:rPr>
        <w:t xml:space="preserve"> </w:t>
      </w:r>
      <w:r w:rsidRPr="0099675B">
        <w:rPr>
          <w:rFonts w:asciiTheme="majorHAnsi" w:eastAsia="Times New Roman" w:hAnsiTheme="majorHAnsi" w:cs="Times New Roman"/>
          <w:sz w:val="20"/>
          <w:szCs w:val="20"/>
        </w:rPr>
        <w:t>There are documented examples of schools that have held steady to data, disbanded leveled opportunities, and made a difference in student sch</w:t>
      </w:r>
      <w:r w:rsidR="001E6314">
        <w:rPr>
          <w:rFonts w:asciiTheme="majorHAnsi" w:eastAsia="Times New Roman" w:hAnsiTheme="majorHAnsi" w:cs="Times New Roman"/>
          <w:sz w:val="20"/>
          <w:szCs w:val="20"/>
        </w:rPr>
        <w:t xml:space="preserve">ool experiences and opportunity. </w:t>
      </w:r>
      <w:r w:rsidRPr="0099675B">
        <w:rPr>
          <w:rFonts w:asciiTheme="majorHAnsi" w:eastAsia="Times New Roman" w:hAnsiTheme="majorHAnsi" w:cs="Times New Roman"/>
          <w:sz w:val="20"/>
          <w:szCs w:val="20"/>
        </w:rPr>
        <w:t xml:space="preserve">These cases continue to be the exception and not the norm. </w:t>
      </w:r>
      <w:r w:rsidR="00F27DE5">
        <w:rPr>
          <w:rFonts w:asciiTheme="majorHAnsi" w:eastAsia="Times New Roman" w:hAnsiTheme="majorHAnsi" w:cs="Times New Roman"/>
          <w:sz w:val="20"/>
          <w:szCs w:val="20"/>
        </w:rPr>
        <w:t>See for instance</w:t>
      </w:r>
      <w:r w:rsidR="001E6314">
        <w:rPr>
          <w:rFonts w:asciiTheme="majorHAnsi" w:eastAsia="Times New Roman" w:hAnsiTheme="majorHAnsi" w:cs="Times New Roman"/>
          <w:sz w:val="20"/>
          <w:szCs w:val="20"/>
        </w:rPr>
        <w:t xml:space="preserve"> Burris et al, 2006 listed above and </w:t>
      </w:r>
      <w:proofErr w:type="spellStart"/>
      <w:r w:rsidR="008E7034" w:rsidRPr="0099675B">
        <w:rPr>
          <w:rFonts w:asciiTheme="majorHAnsi" w:hAnsiTheme="majorHAnsi" w:cs="Arial"/>
          <w:color w:val="222222"/>
          <w:sz w:val="20"/>
          <w:szCs w:val="20"/>
          <w:shd w:val="clear" w:color="auto" w:fill="FFFFFF"/>
        </w:rPr>
        <w:t>Boaler</w:t>
      </w:r>
      <w:proofErr w:type="spellEnd"/>
      <w:r w:rsidR="008E7034" w:rsidRPr="0099675B">
        <w:rPr>
          <w:rFonts w:asciiTheme="majorHAnsi" w:hAnsiTheme="majorHAnsi" w:cs="Arial"/>
          <w:color w:val="222222"/>
          <w:sz w:val="20"/>
          <w:szCs w:val="20"/>
          <w:shd w:val="clear" w:color="auto" w:fill="FFFFFF"/>
        </w:rPr>
        <w:t xml:space="preserve">, J. (2006). How a </w:t>
      </w:r>
      <w:proofErr w:type="spellStart"/>
      <w:r w:rsidR="008E7034" w:rsidRPr="0099675B">
        <w:rPr>
          <w:rFonts w:asciiTheme="majorHAnsi" w:hAnsiTheme="majorHAnsi" w:cs="Arial"/>
          <w:color w:val="222222"/>
          <w:sz w:val="20"/>
          <w:szCs w:val="20"/>
          <w:shd w:val="clear" w:color="auto" w:fill="FFFFFF"/>
        </w:rPr>
        <w:t>detracked</w:t>
      </w:r>
      <w:proofErr w:type="spellEnd"/>
      <w:r w:rsidR="008E7034" w:rsidRPr="0099675B">
        <w:rPr>
          <w:rFonts w:asciiTheme="majorHAnsi" w:hAnsiTheme="majorHAnsi" w:cs="Arial"/>
          <w:color w:val="222222"/>
          <w:sz w:val="20"/>
          <w:szCs w:val="20"/>
          <w:shd w:val="clear" w:color="auto" w:fill="FFFFFF"/>
        </w:rPr>
        <w:t xml:space="preserve"> mathematics approach promoted respect, responsibility, and high achievement. </w:t>
      </w:r>
      <w:r w:rsidR="008E7034" w:rsidRPr="0099675B">
        <w:rPr>
          <w:rFonts w:asciiTheme="majorHAnsi" w:hAnsiTheme="majorHAnsi" w:cs="Arial"/>
          <w:i/>
          <w:iCs/>
          <w:color w:val="222222"/>
          <w:sz w:val="20"/>
          <w:szCs w:val="20"/>
          <w:shd w:val="clear" w:color="auto" w:fill="FFFFFF"/>
        </w:rPr>
        <w:t>Theory into Practice</w:t>
      </w:r>
      <w:r w:rsidR="008E7034" w:rsidRPr="0099675B">
        <w:rPr>
          <w:rFonts w:asciiTheme="majorHAnsi" w:hAnsiTheme="majorHAnsi" w:cs="Arial"/>
          <w:color w:val="222222"/>
          <w:sz w:val="20"/>
          <w:szCs w:val="20"/>
          <w:shd w:val="clear" w:color="auto" w:fill="FFFFFF"/>
        </w:rPr>
        <w:t>, </w:t>
      </w:r>
      <w:r w:rsidR="008E7034" w:rsidRPr="0099675B">
        <w:rPr>
          <w:rFonts w:asciiTheme="majorHAnsi" w:hAnsiTheme="majorHAnsi" w:cs="Arial"/>
          <w:i/>
          <w:iCs/>
          <w:color w:val="222222"/>
          <w:sz w:val="20"/>
          <w:szCs w:val="20"/>
          <w:shd w:val="clear" w:color="auto" w:fill="FFFFFF"/>
        </w:rPr>
        <w:t>45</w:t>
      </w:r>
      <w:r w:rsidR="008E7034" w:rsidRPr="0099675B">
        <w:rPr>
          <w:rFonts w:asciiTheme="majorHAnsi" w:hAnsiTheme="majorHAnsi" w:cs="Arial"/>
          <w:color w:val="222222"/>
          <w:sz w:val="20"/>
          <w:szCs w:val="20"/>
          <w:shd w:val="clear" w:color="auto" w:fill="FFFFFF"/>
        </w:rPr>
        <w:t>(1), 40-46.</w:t>
      </w:r>
    </w:p>
  </w:endnote>
  <w:endnote w:id="9">
    <w:p w14:paraId="27C3D4C7" w14:textId="37C0621B" w:rsidR="00403192" w:rsidRPr="0099675B" w:rsidRDefault="00403192">
      <w:pPr>
        <w:spacing w:after="0" w:line="240" w:lineRule="auto"/>
        <w:rPr>
          <w:rFonts w:asciiTheme="majorHAnsi" w:hAnsiTheme="majorHAnsi"/>
          <w:sz w:val="20"/>
          <w:szCs w:val="20"/>
        </w:rPr>
      </w:pPr>
      <w:r w:rsidRPr="0099675B">
        <w:rPr>
          <w:rFonts w:asciiTheme="majorHAnsi" w:hAnsiTheme="majorHAnsi"/>
          <w:sz w:val="20"/>
          <w:szCs w:val="20"/>
          <w:vertAlign w:val="superscript"/>
        </w:rPr>
        <w:endnoteRef/>
      </w:r>
      <w:r w:rsidRPr="0099675B">
        <w:rPr>
          <w:rFonts w:asciiTheme="majorHAnsi" w:hAnsiTheme="majorHAnsi"/>
          <w:sz w:val="20"/>
          <w:szCs w:val="20"/>
        </w:rPr>
        <w:t xml:space="preserve"> </w:t>
      </w:r>
      <w:r w:rsidRPr="0099675B">
        <w:rPr>
          <w:rFonts w:asciiTheme="majorHAnsi" w:eastAsia="Times New Roman" w:hAnsiTheme="majorHAnsi" w:cs="Times New Roman"/>
          <w:sz w:val="20"/>
          <w:szCs w:val="20"/>
        </w:rPr>
        <w:t xml:space="preserve"> </w:t>
      </w:r>
      <w:r w:rsidR="00B65014" w:rsidRPr="0099675B">
        <w:rPr>
          <w:rFonts w:asciiTheme="majorHAnsi" w:eastAsia="Times New Roman" w:hAnsiTheme="majorHAnsi" w:cs="Times New Roman"/>
          <w:color w:val="000000"/>
          <w:sz w:val="20"/>
          <w:szCs w:val="20"/>
        </w:rPr>
        <w:t xml:space="preserve">Oakes, J. &amp; Wells, A. S. (1998). </w:t>
      </w:r>
      <w:proofErr w:type="spellStart"/>
      <w:r w:rsidR="00B65014" w:rsidRPr="0099675B">
        <w:rPr>
          <w:rFonts w:asciiTheme="majorHAnsi" w:eastAsia="Times New Roman" w:hAnsiTheme="majorHAnsi" w:cs="Times New Roman"/>
          <w:color w:val="000000"/>
          <w:sz w:val="20"/>
          <w:szCs w:val="20"/>
        </w:rPr>
        <w:t>Detracking</w:t>
      </w:r>
      <w:proofErr w:type="spellEnd"/>
      <w:r w:rsidR="00B65014" w:rsidRPr="0099675B">
        <w:rPr>
          <w:rFonts w:asciiTheme="majorHAnsi" w:eastAsia="Times New Roman" w:hAnsiTheme="majorHAnsi" w:cs="Times New Roman"/>
          <w:color w:val="000000"/>
          <w:sz w:val="20"/>
          <w:szCs w:val="20"/>
        </w:rPr>
        <w:t xml:space="preserve"> for high student achievement. </w:t>
      </w:r>
      <w:r w:rsidR="00B65014" w:rsidRPr="0099675B">
        <w:rPr>
          <w:rFonts w:asciiTheme="majorHAnsi" w:eastAsia="Times New Roman" w:hAnsiTheme="majorHAnsi" w:cs="Times New Roman"/>
          <w:i/>
          <w:color w:val="000000"/>
          <w:sz w:val="20"/>
          <w:szCs w:val="20"/>
        </w:rPr>
        <w:t xml:space="preserve">Education Leadership, </w:t>
      </w:r>
      <w:r w:rsidR="00B65014" w:rsidRPr="0099675B">
        <w:rPr>
          <w:rFonts w:asciiTheme="majorHAnsi" w:eastAsia="Times New Roman" w:hAnsiTheme="majorHAnsi" w:cs="Times New Roman"/>
          <w:color w:val="000000"/>
          <w:sz w:val="20"/>
          <w:szCs w:val="20"/>
        </w:rPr>
        <w:t>55(6): 38–41.</w:t>
      </w:r>
    </w:p>
  </w:endnote>
  <w:endnote w:id="10">
    <w:p w14:paraId="1EC6A7BE" w14:textId="5AE17858" w:rsidR="00403192" w:rsidRPr="0099675B" w:rsidRDefault="00403192">
      <w:pPr>
        <w:spacing w:after="0" w:line="240" w:lineRule="auto"/>
        <w:rPr>
          <w:rFonts w:asciiTheme="majorHAnsi" w:eastAsia="Times New Roman" w:hAnsiTheme="majorHAnsi" w:cs="Times New Roman"/>
          <w:sz w:val="20"/>
          <w:szCs w:val="20"/>
        </w:rPr>
      </w:pPr>
      <w:r w:rsidRPr="0099675B">
        <w:rPr>
          <w:rFonts w:asciiTheme="majorHAnsi" w:hAnsiTheme="majorHAnsi"/>
          <w:sz w:val="20"/>
          <w:szCs w:val="20"/>
          <w:vertAlign w:val="superscript"/>
        </w:rPr>
        <w:endnoteRef/>
      </w:r>
      <w:r w:rsidRPr="0099675B">
        <w:rPr>
          <w:rFonts w:asciiTheme="majorHAnsi" w:hAnsiTheme="majorHAnsi"/>
          <w:sz w:val="20"/>
          <w:szCs w:val="20"/>
        </w:rPr>
        <w:t xml:space="preserve"> </w:t>
      </w:r>
      <w:r w:rsidRPr="0099675B">
        <w:rPr>
          <w:rFonts w:asciiTheme="majorHAnsi" w:eastAsia="Times New Roman" w:hAnsiTheme="majorHAnsi" w:cs="Times New Roman"/>
          <w:sz w:val="20"/>
          <w:szCs w:val="20"/>
        </w:rPr>
        <w:t xml:space="preserve"> </w:t>
      </w:r>
      <w:r w:rsidR="00B65014" w:rsidRPr="0099675B">
        <w:rPr>
          <w:rFonts w:asciiTheme="majorHAnsi" w:eastAsia="Times New Roman" w:hAnsiTheme="majorHAnsi" w:cs="Times New Roman"/>
          <w:color w:val="000000"/>
          <w:sz w:val="20"/>
          <w:szCs w:val="20"/>
        </w:rPr>
        <w:t xml:space="preserve">McGrath, D. J. &amp; </w:t>
      </w:r>
      <w:proofErr w:type="spellStart"/>
      <w:r w:rsidR="00B65014" w:rsidRPr="0099675B">
        <w:rPr>
          <w:rFonts w:asciiTheme="majorHAnsi" w:eastAsia="Times New Roman" w:hAnsiTheme="majorHAnsi" w:cs="Times New Roman"/>
          <w:color w:val="000000"/>
          <w:sz w:val="20"/>
          <w:szCs w:val="20"/>
        </w:rPr>
        <w:t>Kuriloff</w:t>
      </w:r>
      <w:proofErr w:type="spellEnd"/>
      <w:r w:rsidR="00B65014" w:rsidRPr="0099675B">
        <w:rPr>
          <w:rFonts w:asciiTheme="majorHAnsi" w:eastAsia="Times New Roman" w:hAnsiTheme="majorHAnsi" w:cs="Times New Roman"/>
          <w:color w:val="000000"/>
          <w:sz w:val="20"/>
          <w:szCs w:val="20"/>
        </w:rPr>
        <w:t xml:space="preserve">, P. J. (1999). ‘They're Going to Tear the Doors Off This Place’: Upper-middle-class parent school involvement and the educational opportunities of other people's children. </w:t>
      </w:r>
      <w:r w:rsidR="00B65014" w:rsidRPr="0099675B">
        <w:rPr>
          <w:rFonts w:asciiTheme="majorHAnsi" w:eastAsia="Times New Roman" w:hAnsiTheme="majorHAnsi" w:cs="Times New Roman"/>
          <w:i/>
          <w:color w:val="000000"/>
          <w:sz w:val="20"/>
          <w:szCs w:val="20"/>
        </w:rPr>
        <w:t>Educational Policy,</w:t>
      </w:r>
      <w:r w:rsidR="00B65014" w:rsidRPr="0099675B">
        <w:rPr>
          <w:rFonts w:asciiTheme="majorHAnsi" w:eastAsia="Times New Roman" w:hAnsiTheme="majorHAnsi" w:cs="Times New Roman"/>
          <w:color w:val="000000"/>
          <w:sz w:val="20"/>
          <w:szCs w:val="20"/>
        </w:rPr>
        <w:t xml:space="preserve"> 13(5): 603–29.</w:t>
      </w:r>
    </w:p>
    <w:p w14:paraId="7705FBFC" w14:textId="0E646EFE" w:rsidR="00405760" w:rsidRPr="006A2319" w:rsidRDefault="00405760" w:rsidP="0099675B">
      <w:pPr>
        <w:tabs>
          <w:tab w:val="left" w:pos="9720"/>
          <w:tab w:val="left" w:pos="9900"/>
        </w:tabs>
        <w:spacing w:line="480" w:lineRule="auto"/>
        <w:ind w:right="1080"/>
        <w:rPr>
          <w:rFonts w:ascii="Times" w:eastAsia="Times New Roman" w:hAnsi="Times" w:cs="Times New Roman"/>
          <w:sz w:val="24"/>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Georgia">
    <w:panose1 w:val="02040502050405020303"/>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宋体">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8F6212" w14:textId="77777777" w:rsidR="00A75745" w:rsidRDefault="00A7574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6F3756" w14:textId="77777777" w:rsidR="00A75745" w:rsidRDefault="00A75745">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924ADA" w14:textId="77777777" w:rsidR="00A75745" w:rsidRDefault="00A7574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E103DB" w14:textId="77777777" w:rsidR="00902F4F" w:rsidRDefault="00902F4F">
      <w:pPr>
        <w:spacing w:after="0" w:line="240" w:lineRule="auto"/>
      </w:pPr>
      <w:r>
        <w:separator/>
      </w:r>
    </w:p>
  </w:footnote>
  <w:footnote w:type="continuationSeparator" w:id="0">
    <w:p w14:paraId="352592A9" w14:textId="77777777" w:rsidR="00902F4F" w:rsidRDefault="00902F4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6E317A" w14:textId="77777777" w:rsidR="00A75745" w:rsidRDefault="00A75745">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76E5A" w14:textId="77777777" w:rsidR="005A3D88" w:rsidRPr="00403192" w:rsidRDefault="00403192" w:rsidP="00403192">
    <w:pPr>
      <w:spacing w:line="480" w:lineRule="auto"/>
      <w:jc w:val="right"/>
      <w:rPr>
        <w:rFonts w:ascii="Arial" w:eastAsia="Arial" w:hAnsi="Arial" w:cs="Arial"/>
        <w:smallCaps/>
      </w:rPr>
    </w:pPr>
    <w:r>
      <w:rPr>
        <w:rFonts w:ascii="Arial" w:eastAsia="Arial" w:hAnsi="Arial" w:cs="Arial"/>
        <w:smallCaps/>
      </w:rPr>
      <w:t>Ch. 5 Push Back</w:t>
    </w:r>
    <w:r w:rsidR="00B928CC">
      <w:t xml:space="preserve"> - </w:t>
    </w:r>
    <w:r w:rsidR="00B928CC">
      <w:rPr>
        <w:rFonts w:ascii="Times New Roman" w:eastAsia="Times New Roman" w:hAnsi="Times New Roman" w:cs="Times New Roman"/>
        <w:b/>
        <w:sz w:val="24"/>
        <w:szCs w:val="24"/>
      </w:rPr>
      <w:fldChar w:fldCharType="begin"/>
    </w:r>
    <w:r w:rsidR="00B928CC">
      <w:rPr>
        <w:rFonts w:ascii="Times New Roman" w:eastAsia="Times New Roman" w:hAnsi="Times New Roman" w:cs="Times New Roman"/>
        <w:b/>
        <w:sz w:val="24"/>
        <w:szCs w:val="24"/>
      </w:rPr>
      <w:instrText>PAGE</w:instrText>
    </w:r>
    <w:r w:rsidR="00B928CC">
      <w:rPr>
        <w:rFonts w:ascii="Times New Roman" w:eastAsia="Times New Roman" w:hAnsi="Times New Roman" w:cs="Times New Roman"/>
        <w:b/>
        <w:sz w:val="24"/>
        <w:szCs w:val="24"/>
      </w:rPr>
      <w:fldChar w:fldCharType="separate"/>
    </w:r>
    <w:r w:rsidR="00A75745">
      <w:rPr>
        <w:rFonts w:ascii="Times New Roman" w:eastAsia="Times New Roman" w:hAnsi="Times New Roman" w:cs="Times New Roman"/>
        <w:b/>
        <w:noProof/>
        <w:sz w:val="24"/>
        <w:szCs w:val="24"/>
      </w:rPr>
      <w:t>8</w:t>
    </w:r>
    <w:r w:rsidR="00B928CC">
      <w:rPr>
        <w:rFonts w:ascii="Times New Roman" w:eastAsia="Times New Roman" w:hAnsi="Times New Roman" w:cs="Times New Roman"/>
        <w:b/>
        <w:sz w:val="24"/>
        <w:szCs w:val="24"/>
      </w:rPr>
      <w:fldChar w:fldCharType="end"/>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2B71B5" w14:textId="77777777" w:rsidR="00A75745" w:rsidRPr="00403192" w:rsidRDefault="00B928CC" w:rsidP="00A75745">
    <w:pPr>
      <w:spacing w:line="480" w:lineRule="auto"/>
      <w:rPr>
        <w:rFonts w:ascii="Arial" w:eastAsia="Arial" w:hAnsi="Arial" w:cs="Arial"/>
        <w:smallCaps/>
      </w:rPr>
    </w:pPr>
    <w:r>
      <w:t xml:space="preserve"> </w:t>
    </w:r>
    <w:r w:rsidR="00F56D8B">
      <w:t xml:space="preserve">              </w:t>
    </w:r>
    <w:r w:rsidR="00F56D8B">
      <w:tab/>
    </w:r>
    <w:r w:rsidR="00A75745">
      <w:rPr>
        <w:rFonts w:ascii="Arial" w:eastAsia="Arial" w:hAnsi="Arial" w:cs="Arial"/>
        <w:smallCaps/>
      </w:rPr>
      <w:t>The Stories We Tell: Math, Race, Bias &amp; Opportunity           Ch. 5 Push Back</w:t>
    </w:r>
  </w:p>
  <w:p w14:paraId="005EB953" w14:textId="62BD6BAD" w:rsidR="005A3D88" w:rsidRPr="00A75745" w:rsidRDefault="00A75745" w:rsidP="00A75745">
    <w:pPr>
      <w:pStyle w:val="Header"/>
    </w:pPr>
    <w:r>
      <w:t>Faulkner, Marshall, Stiff in press</w:t>
    </w:r>
    <w:bookmarkStart w:id="1" w:name="_GoBack"/>
    <w:bookmarkEnd w:id="1"/>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4"/>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D88"/>
    <w:rsid w:val="00013420"/>
    <w:rsid w:val="00061D5B"/>
    <w:rsid w:val="0011585E"/>
    <w:rsid w:val="00196E15"/>
    <w:rsid w:val="001E6314"/>
    <w:rsid w:val="0031453B"/>
    <w:rsid w:val="003C3CE2"/>
    <w:rsid w:val="003C43A0"/>
    <w:rsid w:val="00403192"/>
    <w:rsid w:val="00405760"/>
    <w:rsid w:val="004556A0"/>
    <w:rsid w:val="00456338"/>
    <w:rsid w:val="00562AA9"/>
    <w:rsid w:val="005734E3"/>
    <w:rsid w:val="005A3D88"/>
    <w:rsid w:val="006A2319"/>
    <w:rsid w:val="006C572F"/>
    <w:rsid w:val="00740400"/>
    <w:rsid w:val="00745359"/>
    <w:rsid w:val="0079433E"/>
    <w:rsid w:val="007B7B6B"/>
    <w:rsid w:val="007C6CD9"/>
    <w:rsid w:val="00802F73"/>
    <w:rsid w:val="00857210"/>
    <w:rsid w:val="008E7034"/>
    <w:rsid w:val="00902F4F"/>
    <w:rsid w:val="00994498"/>
    <w:rsid w:val="0099675B"/>
    <w:rsid w:val="009A02AE"/>
    <w:rsid w:val="009D2E3A"/>
    <w:rsid w:val="00A75745"/>
    <w:rsid w:val="00A87DE0"/>
    <w:rsid w:val="00AD2BD7"/>
    <w:rsid w:val="00B65014"/>
    <w:rsid w:val="00B81191"/>
    <w:rsid w:val="00B928CC"/>
    <w:rsid w:val="00C4090E"/>
    <w:rsid w:val="00C741CD"/>
    <w:rsid w:val="00E30403"/>
    <w:rsid w:val="00E830F0"/>
    <w:rsid w:val="00F27DE5"/>
    <w:rsid w:val="00F56D8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8ECD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zh-CN"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40" w:after="0"/>
      <w:outlineLvl w:val="2"/>
    </w:pPr>
    <w:rPr>
      <w:color w:val="1E4D78"/>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4"/>
      <w:szCs w:val="24"/>
    </w:rPr>
  </w:style>
  <w:style w:type="character" w:customStyle="1" w:styleId="CommentTextChar">
    <w:name w:val="Comment Text Char"/>
    <w:basedOn w:val="DefaultParagraphFont"/>
    <w:link w:val="CommentText"/>
    <w:uiPriority w:val="99"/>
    <w:semiHidden/>
    <w:rPr>
      <w:sz w:val="24"/>
      <w:szCs w:val="24"/>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40319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03192"/>
    <w:rPr>
      <w:rFonts w:ascii="Times New Roman" w:hAnsi="Times New Roman" w:cs="Times New Roman"/>
      <w:sz w:val="18"/>
      <w:szCs w:val="18"/>
    </w:rPr>
  </w:style>
  <w:style w:type="paragraph" w:styleId="Header">
    <w:name w:val="header"/>
    <w:basedOn w:val="Normal"/>
    <w:link w:val="HeaderChar"/>
    <w:uiPriority w:val="99"/>
    <w:unhideWhenUsed/>
    <w:rsid w:val="004031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3192"/>
  </w:style>
  <w:style w:type="paragraph" w:styleId="Footer">
    <w:name w:val="footer"/>
    <w:basedOn w:val="Normal"/>
    <w:link w:val="FooterChar"/>
    <w:uiPriority w:val="99"/>
    <w:unhideWhenUsed/>
    <w:rsid w:val="004031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3192"/>
  </w:style>
  <w:style w:type="character" w:styleId="LineNumber">
    <w:name w:val="line number"/>
    <w:basedOn w:val="DefaultParagraphFont"/>
    <w:uiPriority w:val="99"/>
    <w:semiHidden/>
    <w:unhideWhenUsed/>
    <w:rsid w:val="00403192"/>
  </w:style>
  <w:style w:type="paragraph" w:styleId="FootnoteText">
    <w:name w:val="footnote text"/>
    <w:basedOn w:val="Normal"/>
    <w:link w:val="FootnoteTextChar"/>
    <w:uiPriority w:val="99"/>
    <w:semiHidden/>
    <w:unhideWhenUsed/>
    <w:rsid w:val="00403192"/>
    <w:pPr>
      <w:spacing w:after="0" w:line="240" w:lineRule="auto"/>
    </w:pPr>
    <w:rPr>
      <w:sz w:val="24"/>
      <w:szCs w:val="24"/>
    </w:rPr>
  </w:style>
  <w:style w:type="character" w:customStyle="1" w:styleId="FootnoteTextChar">
    <w:name w:val="Footnote Text Char"/>
    <w:basedOn w:val="DefaultParagraphFont"/>
    <w:link w:val="FootnoteText"/>
    <w:uiPriority w:val="99"/>
    <w:semiHidden/>
    <w:rsid w:val="00403192"/>
    <w:rPr>
      <w:sz w:val="24"/>
      <w:szCs w:val="24"/>
    </w:rPr>
  </w:style>
  <w:style w:type="paragraph" w:styleId="EndnoteText">
    <w:name w:val="endnote text"/>
    <w:basedOn w:val="Normal"/>
    <w:link w:val="EndnoteTextChar"/>
    <w:uiPriority w:val="99"/>
    <w:unhideWhenUsed/>
    <w:rsid w:val="00403192"/>
    <w:pPr>
      <w:spacing w:after="0" w:line="240" w:lineRule="auto"/>
    </w:pPr>
    <w:rPr>
      <w:sz w:val="24"/>
      <w:szCs w:val="24"/>
    </w:rPr>
  </w:style>
  <w:style w:type="character" w:customStyle="1" w:styleId="EndnoteTextChar">
    <w:name w:val="Endnote Text Char"/>
    <w:basedOn w:val="DefaultParagraphFont"/>
    <w:link w:val="EndnoteText"/>
    <w:uiPriority w:val="99"/>
    <w:rsid w:val="00403192"/>
    <w:rPr>
      <w:sz w:val="24"/>
      <w:szCs w:val="24"/>
    </w:rPr>
  </w:style>
  <w:style w:type="character" w:styleId="FootnoteReference">
    <w:name w:val="footnote reference"/>
    <w:basedOn w:val="DefaultParagraphFont"/>
    <w:uiPriority w:val="99"/>
    <w:semiHidden/>
    <w:unhideWhenUsed/>
    <w:rsid w:val="00403192"/>
    <w:rPr>
      <w:vertAlign w:val="superscript"/>
    </w:rPr>
  </w:style>
  <w:style w:type="character" w:styleId="EndnoteReference">
    <w:name w:val="endnote reference"/>
    <w:basedOn w:val="DefaultParagraphFont"/>
    <w:uiPriority w:val="99"/>
    <w:unhideWhenUsed/>
    <w:rsid w:val="0040319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DC15F-97FC-9E41-998D-76B0C2F4B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1944</Words>
  <Characters>11085</Characters>
  <Application>Microsoft Macintosh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kawom</dc:creator>
  <cp:lastModifiedBy>Valerie N. Faulkner</cp:lastModifiedBy>
  <cp:revision>3</cp:revision>
  <dcterms:created xsi:type="dcterms:W3CDTF">2019-03-09T13:27:00Z</dcterms:created>
  <dcterms:modified xsi:type="dcterms:W3CDTF">2019-03-09T13:29:00Z</dcterms:modified>
</cp:coreProperties>
</file>